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4"/>
      <w:r>
        <w:rPr/>
        <w:t xml:space="preserve">Vzorový dokument </w:t>
      </w:r>
      <w:bookmarkStart w:id="1" w:name="__DdeLink__42036_285616632"/>
      <w:bookmarkEnd w:id="0"/>
      <w:bookmarkEnd w:id="1"/>
      <w:r>
        <w:rPr/>
        <w:t>27 – Příkaz v přestupkovém řízení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Přestupková komise obce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Datum narození: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Rozhodnutí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</w:t>
      </w:r>
      <w:r>
        <w:rPr/>
        <w:t xml:space="preserve"> vydává dle § 87 odst. 1 zákona č. 200/1990 Sb., o přestupcích tento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příkaz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b/>
          <w:shd w:fill="FFFF00" w:val="clear"/>
        </w:rPr>
        <w:t>...................................</w:t>
      </w:r>
      <w:r>
        <w:rPr>
          <w:b/>
        </w:rPr>
        <w:t xml:space="preserve"> , nar. </w:t>
      </w:r>
      <w:r>
        <w:rPr>
          <w:b/>
          <w:shd w:fill="FFFF00" w:val="clear"/>
        </w:rPr>
        <w:t>.......................................</w:t>
      </w:r>
      <w:r>
        <w:rPr>
          <w:b/>
        </w:rPr>
        <w:t xml:space="preserve"> , trvale bytem </w:t>
      </w:r>
      <w:r>
        <w:rPr>
          <w:b/>
          <w:shd w:fill="FFFF00" w:val="clear"/>
        </w:rPr>
        <w:t>.................................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i/>
        </w:rPr>
        <w:t>se uznává vinným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 přestupku </w:t>
      </w:r>
      <w:r>
        <w:rPr>
          <w:shd w:fill="FFFF00" w:val="clear"/>
        </w:rPr>
        <w:t>..................................</w:t>
      </w:r>
      <w:r>
        <w:rPr/>
        <w:t xml:space="preserve"> dle </w:t>
      </w:r>
      <w:r>
        <w:rPr>
          <w:shd w:fill="FFFF00" w:val="clear"/>
        </w:rPr>
        <w:t>...................................</w:t>
      </w:r>
      <w:r>
        <w:rPr/>
        <w:t xml:space="preserve"> , kterého se dopustil tím, že </w:t>
      </w:r>
      <w:r>
        <w:rPr>
          <w:shd w:fill="FFFF00" w:val="clear"/>
        </w:rPr>
        <w:t>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Za spáchání uvedeného přestupku se obviněnému ukládá dle §</w:t>
      </w:r>
      <w:r>
        <w:rPr/>
        <w:t xml:space="preserve"> 11 odst. 1 pís. </w:t>
      </w:r>
      <w:r>
        <w:rPr>
          <w:shd w:fill="FFFF00" w:val="clear"/>
        </w:rPr>
        <w:t>.......... (a), b)</w:t>
      </w:r>
      <w:r>
        <w:rPr/>
        <w:t>) zákona č. 200/1990 Sb., o přestupcích, sankce ve formě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i/>
          <w:shd w:fill="FFFF00" w:val="clear"/>
        </w:rPr>
        <w:t>napomenutí/ uložení pokuty ve výši 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rPr/>
      </w:pPr>
      <w:r>
        <w:rPr>
          <w:szCs w:val="24"/>
        </w:rPr>
        <w:t xml:space="preserve">Vzhledem k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komise rozhodla tak, jak je uvedeno ve výrokové části.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widowControl w:val="false"/>
        <w:rPr/>
      </w:pPr>
      <w:r>
        <w:rPr/>
        <w:t xml:space="preserve">Proti tomuto rozhodnutí lze do 15 dnů ode dne jeho doručení podat odpor, a to k orgánu, který tento příkaz vydal. Odpor </w:t>
      </w:r>
      <w:r>
        <w:rPr>
          <w:lang w:val="x-none"/>
        </w:rPr>
        <w:t>příkaz ruší a správní orgán pokračuje v řízení s tím, že po projednání věci bude v případě uznání viny obviněného uložena kromě sankce i povinnost obviněného uhradit náklady řízení stanovené vyhláškou č. 231/1996 Sb.,</w:t>
      </w:r>
      <w:r>
        <w:rPr/>
        <w:t xml:space="preserve"> kterou se stanoví paušální částka nákladů řízení o přestupcích</w:t>
      </w:r>
      <w:r>
        <w:rPr>
          <w:lang w:val="x-none"/>
        </w:rPr>
        <w:t xml:space="preserve">, ve výši </w:t>
      </w:r>
      <w:r>
        <w:rPr>
          <w:shd w:fill="FFFF00" w:val="clear"/>
        </w:rPr>
        <w:t>.............</w:t>
      </w:r>
      <w:r>
        <w:rPr>
          <w:lang w:val="x-none"/>
        </w:rPr>
        <w:t xml:space="preserve"> Kč.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2015-08-19T12:45:37Z</dcterms:created>
  <dc:language>cs-CZ</dc:language>
  <dcterms:modified xsi:type="dcterms:W3CDTF">2015-08-19T12:45:49Z</dcterms:modified>
  <cp:revision>1</cp:revision>
</cp:coreProperties>
</file>