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adpis2"/>
        <w:numPr>
          <w:ilvl w:val="0"/>
          <w:numId w:val="0"/>
        </w:numPr>
        <w:spacing w:before="200" w:after="120"/>
        <w:ind w:left="578" w:hanging="578"/>
        <w:rPr/>
      </w:pPr>
      <w:bookmarkStart w:id="0" w:name="_Toc422834787"/>
      <w:r>
        <w:rPr/>
        <w:t xml:space="preserve">Vzorový dokument </w:t>
      </w:r>
      <w:bookmarkStart w:id="1" w:name="__DdeLink__41108_285616632"/>
      <w:bookmarkEnd w:id="0"/>
      <w:bookmarkEnd w:id="1"/>
      <w:r>
        <w:rPr/>
        <w:t>05 – Spisový a skartační řád</w:t>
      </w:r>
    </w:p>
    <w:p>
      <w:pPr>
        <w:pStyle w:val="Normal"/>
        <w:rPr/>
      </w:pPr>
      <w:r>
        <w:rPr/>
      </w:r>
    </w:p>
    <w:p>
      <w:pPr>
        <w:pStyle w:val="Normal"/>
        <w:widowControl w:val="false"/>
        <w:tabs>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 w:val="left" w:pos="19728" w:leader="none"/>
          <w:tab w:val="left" w:pos="20592" w:leader="none"/>
          <w:tab w:val="left" w:pos="21456" w:leader="none"/>
          <w:tab w:val="left" w:pos="22320" w:leader="none"/>
          <w:tab w:val="left" w:pos="23184" w:leader="none"/>
          <w:tab w:val="left" w:pos="24048" w:leader="none"/>
          <w:tab w:val="left" w:pos="24912" w:leader="none"/>
          <w:tab w:val="left" w:pos="25776" w:leader="none"/>
        </w:tabs>
        <w:suppressAutoHyphens w:val="true"/>
        <w:ind w:firstLine="28"/>
        <w:jc w:val="center"/>
        <w:rPr/>
      </w:pPr>
      <w:r>
        <w:rPr>
          <w:b/>
          <w:sz w:val="36"/>
          <w:szCs w:val="36"/>
          <w:lang w:eastAsia="ar-SA"/>
        </w:rPr>
        <w:t>SPISOVÝ A SKARTAČNÍ ŘÁD</w:t>
      </w:r>
    </w:p>
    <w:p>
      <w:pPr>
        <w:pStyle w:val="Normal"/>
        <w:widowControl w:val="false"/>
        <w:suppressAutoHyphens w:val="true"/>
        <w:jc w:val="center"/>
        <w:rPr>
          <w:szCs w:val="20"/>
          <w:lang w:eastAsia="ar-SA"/>
        </w:rPr>
      </w:pPr>
      <w:r>
        <w:rPr>
          <w:szCs w:val="20"/>
          <w:lang w:eastAsia="ar-SA"/>
        </w:rPr>
      </w:r>
    </w:p>
    <w:p>
      <w:pPr>
        <w:pStyle w:val="Normal"/>
        <w:widowControl w:val="false"/>
        <w:tabs>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 w:val="left" w:pos="19728" w:leader="none"/>
          <w:tab w:val="left" w:pos="20592" w:leader="none"/>
          <w:tab w:val="left" w:pos="21456" w:leader="none"/>
          <w:tab w:val="left" w:pos="22320" w:leader="none"/>
          <w:tab w:val="left" w:pos="23184" w:leader="none"/>
          <w:tab w:val="left" w:pos="24048" w:leader="none"/>
          <w:tab w:val="left" w:pos="24912" w:leader="none"/>
          <w:tab w:val="left" w:pos="25776" w:leader="none"/>
          <w:tab w:val="left" w:pos="26640" w:leader="none"/>
          <w:tab w:val="left" w:pos="27504" w:leader="none"/>
          <w:tab w:val="left" w:pos="28368" w:leader="none"/>
          <w:tab w:val="left" w:pos="29232" w:leader="none"/>
          <w:tab w:val="left" w:pos="30096" w:leader="none"/>
          <w:tab w:val="left" w:pos="30960" w:leader="none"/>
        </w:tabs>
        <w:suppressAutoHyphens w:val="true"/>
        <w:jc w:val="center"/>
        <w:rPr/>
      </w:pPr>
      <w:r>
        <w:rPr>
          <w:b/>
          <w:sz w:val="28"/>
          <w:szCs w:val="20"/>
          <w:lang w:eastAsia="ar-SA"/>
        </w:rPr>
        <w:t>I.</w:t>
      </w:r>
    </w:p>
    <w:p>
      <w:pPr>
        <w:pStyle w:val="Normal"/>
        <w:widowControl w:val="false"/>
        <w:tabs>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 w:val="left" w:pos="19728" w:leader="none"/>
          <w:tab w:val="left" w:pos="20592" w:leader="none"/>
          <w:tab w:val="left" w:pos="21456" w:leader="none"/>
          <w:tab w:val="left" w:pos="22320" w:leader="none"/>
          <w:tab w:val="left" w:pos="23184" w:leader="none"/>
          <w:tab w:val="left" w:pos="24048" w:leader="none"/>
          <w:tab w:val="left" w:pos="24912" w:leader="none"/>
          <w:tab w:val="left" w:pos="25776" w:leader="none"/>
          <w:tab w:val="left" w:pos="26640" w:leader="none"/>
          <w:tab w:val="left" w:pos="27504" w:leader="none"/>
          <w:tab w:val="left" w:pos="28368" w:leader="none"/>
          <w:tab w:val="left" w:pos="29232" w:leader="none"/>
          <w:tab w:val="left" w:pos="30096" w:leader="none"/>
          <w:tab w:val="left" w:pos="30960" w:leader="none"/>
        </w:tabs>
        <w:suppressAutoHyphens w:val="true"/>
        <w:jc w:val="center"/>
        <w:rPr/>
      </w:pPr>
      <w:r>
        <w:rPr>
          <w:b/>
          <w:sz w:val="28"/>
          <w:szCs w:val="20"/>
          <w:lang w:eastAsia="ar-SA"/>
        </w:rPr>
        <w:t>Úvodní ustanovení</w:t>
      </w:r>
    </w:p>
    <w:p>
      <w:pPr>
        <w:pStyle w:val="Normal"/>
        <w:widowControl w:val="false"/>
        <w:numPr>
          <w:ilvl w:val="0"/>
          <w:numId w:val="2"/>
        </w:numPr>
        <w:suppressAutoHyphens w:val="true"/>
        <w:ind w:left="425" w:hanging="425"/>
        <w:rPr/>
      </w:pPr>
      <w:r>
        <w:rPr>
          <w:szCs w:val="20"/>
          <w:lang w:eastAsia="ar-SA"/>
        </w:rPr>
        <w:t>Spisový a skartační řád je vnitřní předpis stanovící základní pravidla pro manipulaci s dokumenty a skartační řízení.</w:t>
      </w:r>
    </w:p>
    <w:p>
      <w:pPr>
        <w:pStyle w:val="Normal"/>
        <w:widowControl w:val="false"/>
        <w:numPr>
          <w:ilvl w:val="0"/>
          <w:numId w:val="2"/>
        </w:numPr>
        <w:suppressAutoHyphens w:val="true"/>
        <w:ind w:left="425" w:hanging="425"/>
        <w:rPr/>
      </w:pPr>
      <w:r>
        <w:rPr>
          <w:szCs w:val="20"/>
          <w:lang w:eastAsia="ar-SA"/>
        </w:rPr>
        <w:t xml:space="preserve">Cílem spisového a skartačního řádu je sjednotit manipulaci s dokumenty, vzniklými nebo vyřízenými obcí </w:t>
      </w:r>
      <w:r>
        <w:rPr>
          <w:szCs w:val="20"/>
          <w:shd w:fill="FFFF00" w:val="clear"/>
          <w:lang w:eastAsia="ar-SA"/>
        </w:rPr>
        <w:t>.................................................</w:t>
      </w:r>
      <w:r>
        <w:rPr>
          <w:szCs w:val="20"/>
          <w:lang w:eastAsia="ar-SA"/>
        </w:rPr>
        <w:t xml:space="preserve"> (dále jen Obec) v zájmu racionalizace správní, operativní a provozní činnosti Obce.</w:t>
      </w:r>
    </w:p>
    <w:p>
      <w:pPr>
        <w:pStyle w:val="Normal"/>
        <w:widowControl w:val="false"/>
        <w:numPr>
          <w:ilvl w:val="0"/>
          <w:numId w:val="2"/>
        </w:numPr>
        <w:suppressAutoHyphens w:val="true"/>
        <w:ind w:left="426" w:hanging="426"/>
        <w:rPr/>
      </w:pPr>
      <w:r>
        <w:rPr>
          <w:szCs w:val="20"/>
          <w:lang w:eastAsia="ar-SA"/>
        </w:rPr>
        <w:t xml:space="preserve">Nedílnou součástí spisového a skartačního řádu je spisový a skartační plán (který je </w:t>
      </w:r>
      <w:r>
        <w:rPr>
          <w:b/>
          <w:szCs w:val="20"/>
          <w:lang w:eastAsia="ar-SA"/>
        </w:rPr>
        <w:t>přílohou č. 1</w:t>
      </w:r>
      <w:r>
        <w:rPr>
          <w:szCs w:val="20"/>
          <w:lang w:eastAsia="ar-SA"/>
        </w:rPr>
        <w:t>).</w:t>
      </w:r>
    </w:p>
    <w:p>
      <w:pPr>
        <w:pStyle w:val="Normal"/>
        <w:widowControl w:val="false"/>
        <w:numPr>
          <w:ilvl w:val="0"/>
          <w:numId w:val="2"/>
        </w:numPr>
        <w:suppressAutoHyphens w:val="true"/>
        <w:ind w:left="426" w:hanging="426"/>
        <w:rPr/>
      </w:pPr>
      <w:r>
        <w:rPr>
          <w:szCs w:val="20"/>
          <w:lang w:eastAsia="ar-SA"/>
        </w:rPr>
        <w:t>Spisový a skartační řád je závazný pro všechny osoby činné v Obci</w:t>
      </w:r>
      <w:r>
        <w:rPr>
          <w:i/>
          <w:szCs w:val="20"/>
          <w:lang w:eastAsia="ar-SA"/>
        </w:rPr>
        <w:t>.</w:t>
      </w:r>
    </w:p>
    <w:p>
      <w:pPr>
        <w:pStyle w:val="Normal"/>
        <w:widowControl w:val="false"/>
        <w:suppressAutoHyphens w:val="true"/>
        <w:ind w:left="426" w:hanging="0"/>
        <w:rPr>
          <w:i/>
          <w:i/>
          <w:szCs w:val="20"/>
          <w:lang w:eastAsia="ar-SA"/>
        </w:rPr>
      </w:pPr>
      <w:r>
        <w:rPr>
          <w:i/>
          <w:szCs w:val="20"/>
          <w:lang w:eastAsia="ar-SA"/>
        </w:rPr>
      </w:r>
    </w:p>
    <w:p>
      <w:pPr>
        <w:pStyle w:val="Normal"/>
        <w:widowControl w:val="false"/>
        <w:tabs>
          <w:tab w:val="left" w:pos="11664" w:leader="none"/>
          <w:tab w:val="left" w:pos="12528" w:leader="none"/>
          <w:tab w:val="left" w:pos="13392" w:leader="none"/>
          <w:tab w:val="left" w:pos="14256" w:leader="none"/>
          <w:tab w:val="left" w:pos="15120" w:leader="none"/>
          <w:tab w:val="left" w:pos="15984" w:leader="none"/>
          <w:tab w:val="left" w:pos="16848" w:leader="none"/>
          <w:tab w:val="left" w:pos="17712" w:leader="none"/>
          <w:tab w:val="left" w:pos="18576" w:leader="none"/>
          <w:tab w:val="left" w:pos="19440" w:leader="none"/>
          <w:tab w:val="left" w:pos="20304" w:leader="none"/>
          <w:tab w:val="left" w:pos="21168" w:leader="none"/>
          <w:tab w:val="left" w:pos="22032" w:leader="none"/>
          <w:tab w:val="left" w:pos="22896" w:leader="none"/>
          <w:tab w:val="left" w:pos="23760" w:leader="none"/>
          <w:tab w:val="left" w:pos="24624" w:leader="none"/>
          <w:tab w:val="left" w:pos="25488" w:leader="none"/>
          <w:tab w:val="left" w:pos="26352" w:leader="none"/>
          <w:tab w:val="left" w:pos="27216" w:leader="none"/>
          <w:tab w:val="left" w:pos="28080" w:leader="none"/>
          <w:tab w:val="left" w:pos="28944" w:leader="none"/>
          <w:tab w:val="left" w:pos="29808" w:leader="none"/>
        </w:tabs>
        <w:suppressAutoHyphens w:val="true"/>
        <w:jc w:val="center"/>
        <w:rPr/>
      </w:pPr>
      <w:r>
        <w:rPr>
          <w:b/>
          <w:sz w:val="28"/>
          <w:szCs w:val="20"/>
          <w:lang w:eastAsia="ar-SA"/>
        </w:rPr>
        <w:t>II.</w:t>
      </w:r>
    </w:p>
    <w:p>
      <w:pPr>
        <w:pStyle w:val="Normal"/>
        <w:widowControl w:val="false"/>
        <w:tabs>
          <w:tab w:val="left" w:pos="11664" w:leader="none"/>
          <w:tab w:val="left" w:pos="12528" w:leader="none"/>
          <w:tab w:val="left" w:pos="13392" w:leader="none"/>
          <w:tab w:val="left" w:pos="14256" w:leader="none"/>
          <w:tab w:val="left" w:pos="15120" w:leader="none"/>
          <w:tab w:val="left" w:pos="15984" w:leader="none"/>
          <w:tab w:val="left" w:pos="16848" w:leader="none"/>
          <w:tab w:val="left" w:pos="17712" w:leader="none"/>
          <w:tab w:val="left" w:pos="18576" w:leader="none"/>
          <w:tab w:val="left" w:pos="19440" w:leader="none"/>
          <w:tab w:val="left" w:pos="20304" w:leader="none"/>
          <w:tab w:val="left" w:pos="21168" w:leader="none"/>
          <w:tab w:val="left" w:pos="22032" w:leader="none"/>
          <w:tab w:val="left" w:pos="22896" w:leader="none"/>
          <w:tab w:val="left" w:pos="23760" w:leader="none"/>
          <w:tab w:val="left" w:pos="24624" w:leader="none"/>
          <w:tab w:val="left" w:pos="25488" w:leader="none"/>
          <w:tab w:val="left" w:pos="26352" w:leader="none"/>
          <w:tab w:val="left" w:pos="27216" w:leader="none"/>
          <w:tab w:val="left" w:pos="28080" w:leader="none"/>
          <w:tab w:val="left" w:pos="28944" w:leader="none"/>
          <w:tab w:val="left" w:pos="29808" w:leader="none"/>
        </w:tabs>
        <w:suppressAutoHyphens w:val="true"/>
        <w:jc w:val="center"/>
        <w:rPr/>
      </w:pPr>
      <w:r>
        <w:rPr>
          <w:b/>
          <w:sz w:val="28"/>
          <w:szCs w:val="20"/>
          <w:lang w:eastAsia="ar-SA"/>
        </w:rPr>
        <w:t>Všeobecná ustanovení</w:t>
      </w:r>
    </w:p>
    <w:p>
      <w:pPr>
        <w:pStyle w:val="Normal"/>
        <w:numPr>
          <w:ilvl w:val="0"/>
          <w:numId w:val="3"/>
        </w:numPr>
        <w:suppressAutoHyphens w:val="true"/>
        <w:ind w:left="425" w:hanging="425"/>
        <w:rPr/>
      </w:pPr>
      <w:r>
        <w:rPr>
          <w:rFonts w:eastAsia="Calibri"/>
        </w:rPr>
        <w:t>Spisová služba je soubor pravidel a opatření spojených s příjmem, evidencí, rozdělováním, oběhem, vyřizováním, vyhotovováním, podepisováním, odesíláním a vyřazováním dokumentů ve skartačním řízení.</w:t>
      </w:r>
    </w:p>
    <w:p>
      <w:pPr>
        <w:pStyle w:val="Normal"/>
        <w:widowControl w:val="false"/>
        <w:numPr>
          <w:ilvl w:val="0"/>
          <w:numId w:val="3"/>
        </w:numPr>
        <w:suppressAutoHyphens w:val="true"/>
        <w:ind w:left="426" w:hanging="426"/>
        <w:jc w:val="left"/>
        <w:rPr/>
      </w:pPr>
      <w:r>
        <w:rPr>
          <w:szCs w:val="20"/>
          <w:lang w:eastAsia="ar-SA"/>
        </w:rPr>
        <w:t>Spisová služba se řídí:</w:t>
      </w:r>
    </w:p>
    <w:p>
      <w:pPr>
        <w:pStyle w:val="Normal"/>
        <w:widowControl w:val="false"/>
        <w:numPr>
          <w:ilvl w:val="0"/>
          <w:numId w:val="4"/>
        </w:numPr>
        <w:tabs>
          <w:tab w:val="left" w:pos="709" w:leader="none"/>
        </w:tabs>
        <w:suppressAutoHyphens w:val="true"/>
        <w:ind w:left="709" w:hanging="425"/>
        <w:rPr/>
      </w:pPr>
      <w:r>
        <w:rPr>
          <w:szCs w:val="20"/>
          <w:lang w:eastAsia="ar-SA"/>
        </w:rPr>
        <w:t>zákonem č. 499/2004 Sb., o archivnictví a spisové službě a změně některých zákonů,</w:t>
      </w:r>
    </w:p>
    <w:p>
      <w:pPr>
        <w:pStyle w:val="Normal"/>
        <w:widowControl w:val="false"/>
        <w:numPr>
          <w:ilvl w:val="0"/>
          <w:numId w:val="4"/>
        </w:numPr>
        <w:tabs>
          <w:tab w:val="left" w:pos="709" w:leader="none"/>
        </w:tabs>
        <w:suppressAutoHyphens w:val="true"/>
        <w:ind w:left="709" w:hanging="425"/>
        <w:rPr/>
      </w:pPr>
      <w:r>
        <w:rPr>
          <w:szCs w:val="20"/>
          <w:lang w:eastAsia="ar-SA"/>
        </w:rPr>
        <w:t>vyhláškou 259/2012 Sb., o podrobnostech výkonu spisové služby,</w:t>
      </w:r>
    </w:p>
    <w:p>
      <w:pPr>
        <w:pStyle w:val="Normal"/>
        <w:widowControl w:val="false"/>
        <w:numPr>
          <w:ilvl w:val="0"/>
          <w:numId w:val="4"/>
        </w:numPr>
        <w:tabs>
          <w:tab w:val="left" w:pos="709" w:leader="none"/>
        </w:tabs>
        <w:suppressAutoHyphens w:val="true"/>
        <w:ind w:left="709" w:hanging="425"/>
        <w:rPr/>
      </w:pPr>
      <w:r>
        <w:rPr>
          <w:szCs w:val="20"/>
          <w:lang w:eastAsia="ar-SA"/>
        </w:rPr>
        <w:t>zákonem č. 563/1991 Sb., o účetnictví,</w:t>
      </w:r>
    </w:p>
    <w:p>
      <w:pPr>
        <w:pStyle w:val="Normal"/>
        <w:widowControl w:val="false"/>
        <w:numPr>
          <w:ilvl w:val="0"/>
          <w:numId w:val="4"/>
        </w:numPr>
        <w:tabs>
          <w:tab w:val="left" w:pos="709" w:leader="none"/>
        </w:tabs>
        <w:suppressAutoHyphens w:val="true"/>
        <w:ind w:left="709" w:hanging="425"/>
        <w:rPr/>
      </w:pPr>
      <w:r>
        <w:rPr>
          <w:szCs w:val="20"/>
          <w:lang w:eastAsia="ar-SA"/>
        </w:rPr>
        <w:t>zákonem 300/2008 Sb., o elektronických úkonech a autorizované konverzi dokumentů.</w:t>
      </w:r>
    </w:p>
    <w:p>
      <w:pPr>
        <w:pStyle w:val="Normal"/>
        <w:widowControl w:val="false"/>
        <w:suppressAutoHyphens w:val="true"/>
        <w:rPr>
          <w:b/>
          <w:b/>
          <w:sz w:val="28"/>
          <w:szCs w:val="20"/>
          <w:u w:val="single"/>
          <w:lang w:eastAsia="ar-SA"/>
        </w:rPr>
      </w:pPr>
      <w:r>
        <w:rPr>
          <w:b/>
          <w:sz w:val="28"/>
          <w:szCs w:val="20"/>
          <w:u w:val="single"/>
          <w:lang w:eastAsia="ar-SA"/>
        </w:rPr>
      </w:r>
    </w:p>
    <w:p>
      <w:pPr>
        <w:pStyle w:val="Normal"/>
        <w:widowControl w:val="false"/>
        <w:suppressAutoHyphens w:val="true"/>
        <w:jc w:val="center"/>
        <w:rPr/>
      </w:pPr>
      <w:r>
        <w:rPr>
          <w:b/>
          <w:sz w:val="28"/>
          <w:szCs w:val="20"/>
          <w:lang w:eastAsia="ar-SA"/>
        </w:rPr>
        <w:t>III.</w:t>
      </w:r>
    </w:p>
    <w:p>
      <w:pPr>
        <w:pStyle w:val="Normal"/>
        <w:widowControl w:val="false"/>
        <w:suppressAutoHyphens w:val="true"/>
        <w:jc w:val="center"/>
        <w:rPr/>
      </w:pPr>
      <w:r>
        <w:rPr>
          <w:b/>
          <w:sz w:val="28"/>
          <w:szCs w:val="20"/>
          <w:lang w:eastAsia="ar-SA"/>
        </w:rPr>
        <w:t>Základní pojmy</w:t>
      </w:r>
    </w:p>
    <w:p>
      <w:pPr>
        <w:pStyle w:val="ListParagraph"/>
        <w:numPr>
          <w:ilvl w:val="0"/>
          <w:numId w:val="5"/>
        </w:numPr>
        <w:suppressAutoHyphens w:val="true"/>
        <w:spacing w:before="0" w:after="120"/>
        <w:ind w:left="425" w:hanging="425"/>
        <w:jc w:val="both"/>
        <w:outlineLvl w:val="7"/>
        <w:rPr/>
      </w:pPr>
      <w:r>
        <w:rPr>
          <w:b/>
          <w:lang w:eastAsia="ar-SA"/>
        </w:rPr>
        <w:t>Dokument</w:t>
      </w:r>
      <w:r>
        <w:rPr>
          <w:lang w:eastAsia="ar-SA"/>
        </w:rPr>
        <w:t xml:space="preserve"> je každá písemná, obrazová, zvuková nebo jiná zaznamenaná informace, ať již v podobě analogové či digitální (papírový dokument, foto, mikrofilm, mapa, plán, zvukové a obrazové záznamy, technická a stavební dokumentace apod.), která byla Obcí vytvořena nebo byla Obci doručena. </w:t>
      </w:r>
    </w:p>
    <w:p>
      <w:pPr>
        <w:pStyle w:val="ListParagraph"/>
        <w:numPr>
          <w:ilvl w:val="0"/>
          <w:numId w:val="5"/>
        </w:numPr>
        <w:suppressAutoHyphens w:val="true"/>
        <w:spacing w:before="0" w:after="120"/>
        <w:ind w:left="426" w:hanging="426"/>
        <w:jc w:val="both"/>
        <w:outlineLvl w:val="7"/>
        <w:rPr/>
      </w:pPr>
      <w:r>
        <w:rPr>
          <w:b/>
          <w:lang w:eastAsia="ar-SA"/>
        </w:rPr>
        <w:t xml:space="preserve">Spis </w:t>
      </w:r>
      <w:r>
        <w:rPr>
          <w:lang w:eastAsia="ar-SA"/>
        </w:rPr>
        <w:t>tvoří veškeré dokumenty vzniklé při úředním jednání k jedné věci.</w:t>
      </w:r>
    </w:p>
    <w:p>
      <w:pPr>
        <w:pStyle w:val="ListParagraph"/>
        <w:numPr>
          <w:ilvl w:val="0"/>
          <w:numId w:val="5"/>
        </w:numPr>
        <w:suppressAutoHyphens w:val="true"/>
        <w:spacing w:before="0" w:after="120"/>
        <w:ind w:left="426" w:hanging="426"/>
        <w:jc w:val="both"/>
        <w:outlineLvl w:val="7"/>
        <w:rPr/>
      </w:pPr>
      <w:r>
        <w:rPr>
          <w:b/>
          <w:lang w:eastAsia="ar-SA"/>
        </w:rPr>
        <w:t xml:space="preserve">Spisové znaky </w:t>
      </w:r>
      <w:r>
        <w:rPr>
          <w:lang w:eastAsia="ar-SA"/>
        </w:rPr>
        <w:t>označují jednotlivé skupiny dokumentů dle jejich obsahu.</w:t>
      </w:r>
    </w:p>
    <w:p>
      <w:pPr>
        <w:pStyle w:val="ListParagraph"/>
        <w:numPr>
          <w:ilvl w:val="0"/>
          <w:numId w:val="5"/>
        </w:numPr>
        <w:suppressAutoHyphens w:val="true"/>
        <w:spacing w:before="0" w:after="120"/>
        <w:ind w:left="426" w:hanging="426"/>
        <w:jc w:val="both"/>
        <w:outlineLvl w:val="7"/>
        <w:rPr/>
      </w:pPr>
      <w:r>
        <w:rPr>
          <w:b/>
          <w:lang w:eastAsia="ar-SA"/>
        </w:rPr>
        <w:t>Archiválií</w:t>
      </w:r>
      <w:r>
        <w:rPr>
          <w:lang w:eastAsia="ar-SA"/>
        </w:rPr>
        <w:t xml:space="preserve"> se rozumí takový dokument, který byl vzhledem k době vzniku, obsahu, původu, vnějším znakům a trvalé hodnotě dané politickým, hospodářským, právním, historickým, kulturním, vědeckým nebo informačním významem vybrán ve veřejném zájmu k trvalému uchování a byl vzat do evidence archiválií; archiváliemi jsou i pečetidla, razítka a jiné hmotné předměty související s archivním fondem či s archivní sbírkou, které byly vzhledem k době vzniku, obsahu, původu, vnějším znakům a trvalé hodnotě dané politickým, hospodářským, právním, historickým, kulturním, vědeckým nebo informačním významem vybrány a vzaty do evidence. </w:t>
      </w:r>
    </w:p>
    <w:p>
      <w:pPr>
        <w:pStyle w:val="ListParagraph"/>
        <w:numPr>
          <w:ilvl w:val="0"/>
          <w:numId w:val="5"/>
        </w:numPr>
        <w:suppressAutoHyphens w:val="true"/>
        <w:spacing w:before="0" w:after="120"/>
        <w:ind w:left="426" w:hanging="426"/>
        <w:jc w:val="both"/>
        <w:outlineLvl w:val="7"/>
        <w:rPr/>
      </w:pPr>
      <w:r>
        <w:rPr>
          <w:b/>
          <w:lang w:eastAsia="ar-SA"/>
        </w:rPr>
        <w:t>Výběrem archiválií</w:t>
      </w:r>
      <w:r>
        <w:rPr>
          <w:lang w:eastAsia="ar-SA"/>
        </w:rPr>
        <w:t xml:space="preserve"> se rozumí posouzení hodnoty dokumentů a rozhodnutí o jejich vybrání za archiválie a zařazení do evidence archiválií.</w:t>
      </w:r>
    </w:p>
    <w:p>
      <w:pPr>
        <w:pStyle w:val="ListParagraph"/>
        <w:numPr>
          <w:ilvl w:val="0"/>
          <w:numId w:val="5"/>
        </w:numPr>
        <w:suppressAutoHyphens w:val="true"/>
        <w:spacing w:before="0" w:after="120"/>
        <w:ind w:left="426" w:hanging="426"/>
        <w:jc w:val="both"/>
        <w:outlineLvl w:val="7"/>
        <w:rPr/>
      </w:pPr>
      <w:r>
        <w:rPr>
          <w:b/>
          <w:lang w:eastAsia="ar-SA"/>
        </w:rPr>
        <w:t xml:space="preserve">Výkonem spisové služby </w:t>
      </w:r>
      <w:r>
        <w:rPr>
          <w:lang w:eastAsia="ar-SA"/>
        </w:rPr>
        <w:t>se rozumí zajištění odborné správy dokumentů vzniklých z činnosti Obce, zahrnující jejich řádný příjem, evidenci, rozdělování, oběh, vyřizování, vyhotovování, podepisování, odesílání, ukládání a vyřazování ve skartačním řízení, a to včetně kontroly těchto činností.</w:t>
      </w:r>
    </w:p>
    <w:p>
      <w:pPr>
        <w:pStyle w:val="ListParagraph"/>
        <w:numPr>
          <w:ilvl w:val="0"/>
          <w:numId w:val="5"/>
        </w:numPr>
        <w:suppressAutoHyphens w:val="true"/>
        <w:spacing w:before="0" w:after="120"/>
        <w:ind w:left="426" w:hanging="426"/>
        <w:jc w:val="both"/>
        <w:outlineLvl w:val="7"/>
        <w:rPr/>
      </w:pPr>
      <w:r>
        <w:rPr>
          <w:b/>
          <w:lang w:eastAsia="ar-SA"/>
        </w:rPr>
        <w:t>Spisový a skartační plán</w:t>
      </w:r>
      <w:r>
        <w:rPr>
          <w:lang w:eastAsia="ar-SA"/>
        </w:rPr>
        <w:t xml:space="preserve"> obsahuje seznam typů dokumentů roztříděných do věcných skupin s vyznačenými spisovými znaky, skartačními znaky a skartačními lhůtami.</w:t>
      </w:r>
    </w:p>
    <w:p>
      <w:pPr>
        <w:pStyle w:val="ListParagraph"/>
        <w:numPr>
          <w:ilvl w:val="0"/>
          <w:numId w:val="5"/>
        </w:numPr>
        <w:suppressAutoHyphens w:val="true"/>
        <w:spacing w:before="0" w:after="120"/>
        <w:ind w:left="426" w:hanging="426"/>
        <w:jc w:val="both"/>
        <w:outlineLvl w:val="7"/>
        <w:rPr/>
      </w:pPr>
      <w:r>
        <w:rPr>
          <w:b/>
          <w:lang w:eastAsia="ar-SA"/>
        </w:rPr>
        <w:t>Skartační plán</w:t>
      </w:r>
      <w:r>
        <w:rPr>
          <w:iCs/>
          <w:lang w:eastAsia="ar-SA"/>
        </w:rPr>
        <w:t xml:space="preserve"> obsahuje seznam typů dokumentů roztříděných do věcných skupin s vyznačenými skartačními znaky a skartačními lhůtami.</w:t>
      </w:r>
    </w:p>
    <w:p>
      <w:pPr>
        <w:pStyle w:val="ListParagraph"/>
        <w:numPr>
          <w:ilvl w:val="0"/>
          <w:numId w:val="5"/>
        </w:numPr>
        <w:suppressAutoHyphens w:val="true"/>
        <w:spacing w:before="0" w:after="120"/>
        <w:ind w:left="426" w:hanging="426"/>
        <w:jc w:val="both"/>
        <w:outlineLvl w:val="7"/>
        <w:rPr/>
      </w:pPr>
      <w:r>
        <w:rPr>
          <w:b/>
          <w:lang w:eastAsia="ar-SA"/>
        </w:rPr>
        <w:t>Spisový znak</w:t>
      </w:r>
      <w:r>
        <w:rPr>
          <w:lang w:eastAsia="ar-SA"/>
        </w:rPr>
        <w:t xml:space="preserve"> je označení, které zařazuje dokumenty podle jejich obsahu do věcných skupin pro účely jejich budoucího vyhledávání, ukládání a vyřazování.</w:t>
      </w:r>
    </w:p>
    <w:p>
      <w:pPr>
        <w:pStyle w:val="ListParagraph"/>
        <w:numPr>
          <w:ilvl w:val="0"/>
          <w:numId w:val="5"/>
        </w:numPr>
        <w:suppressAutoHyphens w:val="true"/>
        <w:spacing w:before="0" w:after="120"/>
        <w:ind w:left="426" w:hanging="426"/>
        <w:jc w:val="both"/>
        <w:outlineLvl w:val="7"/>
        <w:rPr/>
      </w:pPr>
      <w:r>
        <w:rPr>
          <w:b/>
          <w:lang w:eastAsia="ar-SA"/>
        </w:rPr>
        <w:t>Skartační znak</w:t>
      </w:r>
      <w:r>
        <w:rPr>
          <w:lang w:eastAsia="ar-SA"/>
        </w:rPr>
        <w:t xml:space="preserve"> je označení dokumentu, podle něhož se dokument posuzuje ve skartačním řízení. U</w:t>
      </w:r>
      <w:r>
        <w:rPr>
          <w:rFonts w:eastAsia="Calibri"/>
          <w:lang w:eastAsia="en-US"/>
        </w:rPr>
        <w:t>rčuje, jak má být po uplynutí skartačních lhůt s dokumenty naloženo.</w:t>
      </w:r>
    </w:p>
    <w:p>
      <w:pPr>
        <w:pStyle w:val="ListParagraph"/>
        <w:numPr>
          <w:ilvl w:val="0"/>
          <w:numId w:val="0"/>
        </w:numPr>
        <w:suppressAutoHyphens w:val="true"/>
        <w:spacing w:before="0" w:after="120"/>
        <w:ind w:left="426" w:hanging="0"/>
        <w:jc w:val="both"/>
        <w:outlineLvl w:val="7"/>
        <w:rPr/>
      </w:pPr>
      <w:r>
        <w:rPr>
          <w:lang w:eastAsia="ar-SA"/>
        </w:rPr>
        <w:t>znak „</w:t>
      </w:r>
      <w:r>
        <w:rPr>
          <w:b/>
          <w:lang w:eastAsia="ar-SA"/>
        </w:rPr>
        <w:t>A</w:t>
      </w:r>
      <w:r>
        <w:rPr>
          <w:lang w:eastAsia="ar-SA"/>
        </w:rPr>
        <w:t>“ (archiv</w:t>
      </w:r>
      <w:r>
        <w:rPr>
          <w:szCs w:val="20"/>
          <w:lang w:eastAsia="ar-SA"/>
        </w:rPr>
        <w:t xml:space="preserve">) – označuje dokument trvalé hodnoty, který bude ve skartačním řízení navržen k výběru za archiválii. </w:t>
      </w:r>
    </w:p>
    <w:p>
      <w:pPr>
        <w:pStyle w:val="ListParagraph"/>
        <w:numPr>
          <w:ilvl w:val="0"/>
          <w:numId w:val="0"/>
        </w:numPr>
        <w:suppressAutoHyphens w:val="true"/>
        <w:spacing w:before="0" w:after="120"/>
        <w:ind w:left="426" w:hanging="0"/>
        <w:jc w:val="both"/>
        <w:outlineLvl w:val="7"/>
        <w:rPr/>
      </w:pPr>
      <w:r>
        <w:rPr>
          <w:szCs w:val="20"/>
          <w:lang w:eastAsia="ar-SA"/>
        </w:rPr>
        <w:t>znak „</w:t>
      </w:r>
      <w:r>
        <w:rPr>
          <w:b/>
          <w:szCs w:val="20"/>
          <w:lang w:eastAsia="ar-SA"/>
        </w:rPr>
        <w:t>S</w:t>
      </w:r>
      <w:r>
        <w:rPr>
          <w:szCs w:val="20"/>
          <w:lang w:eastAsia="ar-SA"/>
        </w:rPr>
        <w:t xml:space="preserve">“ (stoupa) - označuje dokument bez trvalé hodnoty, jenž bude ve skartačním </w:t>
      </w:r>
      <w:r>
        <w:rPr>
          <w:lang w:eastAsia="ar-SA"/>
        </w:rPr>
        <w:t xml:space="preserve">řízení navržen ke zničení. </w:t>
      </w:r>
    </w:p>
    <w:p>
      <w:pPr>
        <w:pStyle w:val="ListParagraph"/>
        <w:numPr>
          <w:ilvl w:val="0"/>
          <w:numId w:val="0"/>
        </w:numPr>
        <w:suppressAutoHyphens w:val="true"/>
        <w:spacing w:before="0" w:after="120"/>
        <w:ind w:left="426" w:hanging="0"/>
        <w:jc w:val="both"/>
        <w:outlineLvl w:val="7"/>
        <w:rPr/>
      </w:pPr>
      <w:r>
        <w:rPr>
          <w:lang w:eastAsia="ar-SA"/>
        </w:rPr>
        <w:t>znak „</w:t>
      </w:r>
      <w:r>
        <w:rPr>
          <w:b/>
          <w:lang w:eastAsia="ar-SA"/>
        </w:rPr>
        <w:t>V</w:t>
      </w:r>
      <w:r>
        <w:rPr>
          <w:lang w:eastAsia="ar-SA"/>
        </w:rPr>
        <w:t>“ (výběr) – označuje dokument, jenž bude ve skartačním řízení posouzen a navržen k výběru za archiválii, nebo ke zničení.</w:t>
      </w:r>
    </w:p>
    <w:p>
      <w:pPr>
        <w:pStyle w:val="ListParagraph"/>
        <w:numPr>
          <w:ilvl w:val="0"/>
          <w:numId w:val="5"/>
        </w:numPr>
        <w:suppressAutoHyphens w:val="true"/>
        <w:spacing w:before="0" w:after="120"/>
        <w:ind w:left="426" w:hanging="426"/>
        <w:jc w:val="both"/>
        <w:outlineLvl w:val="7"/>
        <w:rPr/>
      </w:pPr>
      <w:r>
        <w:rPr>
          <w:b/>
          <w:lang w:eastAsia="ar-SA"/>
        </w:rPr>
        <w:t>Skartační lhůta</w:t>
      </w:r>
      <w:r>
        <w:rPr>
          <w:lang w:eastAsia="ar-SA"/>
        </w:rPr>
        <w:t xml:space="preserve"> je počet let, během nichž musí být dokument uložen v Obci. Počet let je vyjádřen celým kladným číslem uvedeným za skartačním znakem. Skartační lhůta začíná běžet dnem 1. ledna následujícího roku po uplynutí spouštěcí události (</w:t>
      </w:r>
      <w:r>
        <w:rPr>
          <w:rFonts w:eastAsia="Calibri"/>
          <w:lang w:eastAsia="en-US"/>
        </w:rPr>
        <w:t>po vyřízení dokumentu nebo uzavření spisu)</w:t>
      </w:r>
      <w:r>
        <w:rPr>
          <w:lang w:eastAsia="ar-SA"/>
        </w:rPr>
        <w:t>. Tato lhůta nesmí být zkracována. Po dohodě s příslušným archivem může být výjimečně prodloužena.</w:t>
      </w:r>
    </w:p>
    <w:p>
      <w:pPr>
        <w:pStyle w:val="ListParagraph"/>
        <w:numPr>
          <w:ilvl w:val="0"/>
          <w:numId w:val="5"/>
        </w:numPr>
        <w:suppressAutoHyphens w:val="true"/>
        <w:spacing w:before="0" w:after="120"/>
        <w:ind w:left="426" w:hanging="426"/>
        <w:jc w:val="both"/>
        <w:outlineLvl w:val="7"/>
        <w:rPr/>
      </w:pPr>
      <w:r>
        <w:rPr>
          <w:b/>
          <w:lang w:eastAsia="ar-SA"/>
        </w:rPr>
        <w:t xml:space="preserve">Spouštěcí událostí </w:t>
      </w:r>
      <w:r>
        <w:rPr>
          <w:lang w:eastAsia="ar-SA"/>
        </w:rPr>
        <w:t>se rozumí okamžik rozhodný pro počátek plynutí skartační lhůty.</w:t>
      </w:r>
      <w:r>
        <w:rPr>
          <w:b/>
          <w:lang w:eastAsia="ar-SA"/>
        </w:rPr>
        <w:t xml:space="preserve"> </w:t>
      </w:r>
      <w:r>
        <w:rPr>
          <w:color w:val="000000"/>
        </w:rPr>
        <w:t xml:space="preserve">Spouštěcí události k jednotlivým dokumentům a spisům jsou uvedeny ve spisovém a skartačním plánu </w:t>
      </w:r>
      <w:r>
        <w:rPr>
          <w:lang w:eastAsia="ar-SA"/>
        </w:rPr>
        <w:t xml:space="preserve">(který je </w:t>
      </w:r>
      <w:r>
        <w:rPr>
          <w:b/>
          <w:lang w:eastAsia="ar-SA"/>
        </w:rPr>
        <w:t>přílohou č. 1</w:t>
      </w:r>
      <w:r>
        <w:rPr>
          <w:lang w:eastAsia="ar-SA"/>
        </w:rPr>
        <w:t>).</w:t>
      </w:r>
    </w:p>
    <w:p>
      <w:pPr>
        <w:pStyle w:val="ListParagraph"/>
        <w:numPr>
          <w:ilvl w:val="0"/>
          <w:numId w:val="5"/>
        </w:numPr>
        <w:suppressAutoHyphens w:val="true"/>
        <w:spacing w:before="0" w:after="120"/>
        <w:ind w:left="426" w:hanging="426"/>
        <w:jc w:val="both"/>
        <w:outlineLvl w:val="7"/>
        <w:rPr/>
      </w:pPr>
      <w:r>
        <w:rPr>
          <w:b/>
          <w:lang w:eastAsia="ar-SA"/>
        </w:rPr>
        <w:t>Příruční registratura</w:t>
      </w:r>
      <w:r>
        <w:rPr>
          <w:lang w:eastAsia="ar-SA"/>
        </w:rPr>
        <w:t xml:space="preserve"> slouží k ukládání živé spisové agendy potřebné pro běžnou provozní činnost. Dokumenty jsou zde uloženy po dobu 1 až 2 let od jejich vzniku nebo vyřízení.</w:t>
      </w:r>
    </w:p>
    <w:p>
      <w:pPr>
        <w:pStyle w:val="ListParagraph"/>
        <w:numPr>
          <w:ilvl w:val="0"/>
          <w:numId w:val="5"/>
        </w:numPr>
        <w:suppressAutoHyphens w:val="true"/>
        <w:spacing w:before="0" w:after="120"/>
        <w:ind w:left="426" w:hanging="426"/>
        <w:jc w:val="both"/>
        <w:outlineLvl w:val="7"/>
        <w:rPr/>
      </w:pPr>
      <w:r>
        <w:rPr>
          <w:b/>
          <w:lang w:eastAsia="ar-SA"/>
        </w:rPr>
        <w:t>Spisovna</w:t>
      </w:r>
      <w:r>
        <w:rPr>
          <w:lang w:eastAsia="ar-SA"/>
        </w:rPr>
        <w:t xml:space="preserve"> je místo, které slouží k uložení, vyhledávání a předkládání dokumentů pro potřebu Obce, které již nejsou potřebné pro její běžnou provozní činnost. Dokumenty zde zůstávají uloženy do provedení skartačního řízení a k samotnému provádění skartačního řízení.</w:t>
      </w:r>
    </w:p>
    <w:p>
      <w:pPr>
        <w:pStyle w:val="ListParagraph"/>
        <w:numPr>
          <w:ilvl w:val="0"/>
          <w:numId w:val="5"/>
        </w:numPr>
        <w:suppressAutoHyphens w:val="true"/>
        <w:spacing w:before="0" w:after="120"/>
        <w:ind w:left="426" w:hanging="426"/>
        <w:jc w:val="both"/>
        <w:outlineLvl w:val="7"/>
        <w:rPr/>
      </w:pPr>
      <w:r>
        <w:rPr>
          <w:b/>
          <w:lang w:eastAsia="ar-SA"/>
        </w:rPr>
        <w:t>Specializovaná spisovna (technická, účetní, tajná apod.)</w:t>
      </w:r>
      <w:r>
        <w:rPr>
          <w:iCs/>
          <w:u w:val="single"/>
          <w:lang w:eastAsia="ar-SA"/>
        </w:rPr>
        <w:t xml:space="preserve"> </w:t>
      </w:r>
      <w:r>
        <w:rPr>
          <w:iCs/>
          <w:lang w:eastAsia="ar-SA"/>
        </w:rPr>
        <w:t xml:space="preserve">je místo, které slouží k uložení, vyhledávání a předkládání určeného typu dokumentů a k provádění skartačního řízení. </w:t>
      </w:r>
    </w:p>
    <w:p>
      <w:pPr>
        <w:pStyle w:val="ListParagraph"/>
        <w:numPr>
          <w:ilvl w:val="0"/>
          <w:numId w:val="5"/>
        </w:numPr>
        <w:suppressAutoHyphens w:val="true"/>
        <w:spacing w:before="0" w:after="120"/>
        <w:ind w:left="426" w:hanging="426"/>
        <w:jc w:val="both"/>
        <w:outlineLvl w:val="7"/>
        <w:rPr/>
      </w:pPr>
      <w:r>
        <w:rPr>
          <w:b/>
          <w:lang w:eastAsia="ar-SA"/>
        </w:rPr>
        <w:t>Skartační řízení</w:t>
      </w:r>
      <w:r>
        <w:rPr>
          <w:lang w:eastAsia="ar-SA"/>
        </w:rPr>
        <w:t xml:space="preserve"> je postup, při kterém se vyřazují dokumenty, jimž uplynuly skartační lhůty a jež jsou nadále nepotřebné pro činnost Obce.</w:t>
      </w:r>
    </w:p>
    <w:p>
      <w:pPr>
        <w:pStyle w:val="ListParagraph"/>
        <w:numPr>
          <w:ilvl w:val="0"/>
          <w:numId w:val="0"/>
        </w:numPr>
        <w:suppressAutoHyphens w:val="true"/>
        <w:spacing w:before="0" w:after="120"/>
        <w:ind w:left="426" w:hanging="0"/>
        <w:jc w:val="both"/>
        <w:outlineLvl w:val="7"/>
        <w:rPr>
          <w:szCs w:val="20"/>
          <w:lang w:eastAsia="ar-SA"/>
        </w:rPr>
      </w:pPr>
      <w:r>
        <w:rPr>
          <w:szCs w:val="20"/>
          <w:lang w:eastAsia="ar-SA"/>
        </w:rPr>
      </w:r>
    </w:p>
    <w:p>
      <w:pPr>
        <w:pStyle w:val="Normal"/>
        <w:widowControl w:val="false"/>
        <w:suppressAutoHyphens w:val="true"/>
        <w:jc w:val="center"/>
        <w:rPr/>
      </w:pPr>
      <w:r>
        <w:rPr>
          <w:b/>
          <w:sz w:val="28"/>
          <w:szCs w:val="20"/>
          <w:lang w:eastAsia="ar-SA"/>
        </w:rPr>
        <w:t>IV.</w:t>
      </w:r>
    </w:p>
    <w:p>
      <w:pPr>
        <w:pStyle w:val="Normal"/>
        <w:widowControl w:val="false"/>
        <w:suppressAutoHyphens w:val="true"/>
        <w:jc w:val="center"/>
        <w:rPr/>
      </w:pPr>
      <w:r>
        <w:rPr>
          <w:b/>
          <w:sz w:val="28"/>
          <w:szCs w:val="20"/>
          <w:lang w:eastAsia="ar-SA"/>
        </w:rPr>
        <w:t>Spisový řád</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rPr/>
      </w:pPr>
      <w:r>
        <w:rPr>
          <w:szCs w:val="20"/>
          <w:lang w:eastAsia="ar-SA"/>
        </w:rPr>
        <w:t xml:space="preserve">Upravuje úkony spojené s příjmem a tříděním došlých dokumentů, s označováním a evidováním došlých nebo vzniklých dokumentů, s rozdělováním a oběhem dokumentů, vyřizováním, vyhotovováním, podpisováním, odesíláním a ukládáním dokumentů. </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jc w:val="center"/>
        <w:rPr>
          <w:b/>
          <w:b/>
          <w:bCs/>
          <w:szCs w:val="20"/>
          <w:lang w:eastAsia="ar-SA"/>
        </w:rPr>
      </w:pPr>
      <w:r>
        <w:rPr>
          <w:b/>
          <w:bCs/>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jc w:val="center"/>
        <w:rPr/>
      </w:pPr>
      <w:r>
        <w:rPr>
          <w:b/>
          <w:bCs/>
          <w:szCs w:val="20"/>
          <w:lang w:eastAsia="ar-SA"/>
        </w:rPr>
        <w:t>Příjem dokumentů</w:t>
      </w:r>
    </w:p>
    <w:p>
      <w:pPr>
        <w:pStyle w:val="ListParagraph"/>
        <w:widowControl w:val="false"/>
        <w:numPr>
          <w:ilvl w:val="0"/>
          <w:numId w:val="6"/>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60"/>
        <w:ind w:left="426" w:hanging="426"/>
        <w:jc w:val="both"/>
        <w:rPr/>
      </w:pPr>
      <w:r>
        <w:rPr>
          <w:lang w:eastAsia="ar-SA"/>
        </w:rPr>
        <w:t>Doručené dokumenty se přijímají v místě k tomu určeném. Za doručený dokument se považuje také dokument, který byl předán osobně mimo podatelnu, nebo byl pořízen záznam o podání učiněném telefonicky nebo ústně.</w:t>
      </w:r>
    </w:p>
    <w:p>
      <w:pPr>
        <w:pStyle w:val="ListParagraph"/>
        <w:widowControl w:val="false"/>
        <w:numPr>
          <w:ilvl w:val="0"/>
          <w:numId w:val="6"/>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60"/>
        <w:ind w:left="426" w:hanging="426"/>
        <w:jc w:val="both"/>
        <w:rPr/>
      </w:pPr>
      <w:r>
        <w:rPr>
          <w:lang w:eastAsia="ar-SA"/>
        </w:rPr>
        <w:t>Veškeré doručené dokumenty, s výjimkou dokumentů uvedených v odst. 1 a 2 Evidence dokumentů, je třeba neprodleně zaevidovat v podacím deníku. Osoba pověřená vedením podacího deníku je povinna všechny doručené dokumenty opatřit v den, kdy byly doručeny Obci, otiskem podacího razítka a vyplnit otisk. Došlé telegramy, telefaxy a elektronicky přijaté dokumenty se evidují obdobně s tím, že se navíc opatří časovým údajem doručení. Všechny dokumenty se k vyřízení vždy předají příslušné osobě.</w:t>
      </w:r>
    </w:p>
    <w:p>
      <w:pPr>
        <w:pStyle w:val="ListParagraph"/>
        <w:widowControl w:val="false"/>
        <w:numPr>
          <w:ilvl w:val="0"/>
          <w:numId w:val="6"/>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60"/>
        <w:ind w:left="426" w:hanging="426"/>
        <w:jc w:val="both"/>
        <w:rPr/>
      </w:pPr>
      <w:r>
        <w:rPr>
          <w:lang w:eastAsia="ar-SA"/>
        </w:rPr>
        <w:t>Podací razítko obsahuje název Obce, datum doručení, číslo jednací a počet příloh dokumentu.</w:t>
      </w:r>
    </w:p>
    <w:p>
      <w:pPr>
        <w:pStyle w:val="ListParagraph"/>
        <w:widowControl w:val="false"/>
        <w:numPr>
          <w:ilvl w:val="0"/>
          <w:numId w:val="6"/>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60"/>
        <w:ind w:left="426" w:hanging="426"/>
        <w:jc w:val="both"/>
        <w:rPr/>
      </w:pPr>
      <w:r>
        <w:rPr>
          <w:lang w:eastAsia="ar-SA"/>
        </w:rPr>
        <w:t>Pokud se na příjem a manipulaci s dokumenty vztahují zvláštní právní předpisy, přijímají se odděleně a vede se pro ně samostatná evidence.</w:t>
      </w:r>
    </w:p>
    <w:p>
      <w:pPr>
        <w:pStyle w:val="ListParagraph"/>
        <w:widowControl w:val="false"/>
        <w:numPr>
          <w:ilvl w:val="0"/>
          <w:numId w:val="6"/>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60"/>
        <w:ind w:left="426" w:hanging="426"/>
        <w:jc w:val="both"/>
        <w:rPr/>
      </w:pPr>
      <w:r>
        <w:rPr>
          <w:lang w:eastAsia="ar-SA"/>
        </w:rPr>
        <w:t>Pokud je v adrese na obálce dokumentu uvedeno na prvním místě jméno a příjmení fyzické osoby, předá se adresátovi neotevřená. Pokud adresát zjistí, že je dokument úředního charakteru, zabezpečí jeho dodatečné zaevidování. Obdobně se postupuje, pokud je dokument úředního charakteru doručen v digitální podobě přímo do e-mailové schránky adresáta.</w:t>
      </w:r>
    </w:p>
    <w:p>
      <w:pPr>
        <w:pStyle w:val="ListParagraph"/>
        <w:widowControl w:val="false"/>
        <w:numPr>
          <w:ilvl w:val="0"/>
          <w:numId w:val="6"/>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60"/>
        <w:ind w:left="426" w:hanging="426"/>
        <w:jc w:val="both"/>
        <w:rPr/>
      </w:pPr>
      <w:r>
        <w:rPr>
          <w:lang w:eastAsia="ar-SA"/>
        </w:rPr>
        <w:t>Obálka dokumentu se ponechává jako jeho součást: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pPr>
      <w:r>
        <w:rPr>
          <w:lang w:eastAsia="ar-SA"/>
        </w:rPr>
        <w:t xml:space="preserve">a) je-li v souladu se zvláštními právními předpisy zásilka doručována Obci do vlastních rukou, </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pPr>
      <w:r>
        <w:rPr>
          <w:lang w:eastAsia="ar-SA"/>
        </w:rPr>
        <w:t>b) je-li to nezbytné pro určení, kdy byla zásilka podána k poštovní přepravě nebo kdy byla Obci doručena,</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pPr>
      <w:r>
        <w:rPr>
          <w:lang w:eastAsia="ar-SA"/>
        </w:rPr>
        <w:t>c) je-li to rozhodné pro zjištění adresy odesílatele.</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pPr>
      <w:r>
        <w:rPr>
          <w:lang w:eastAsia="ar-SA"/>
        </w:rPr>
        <w:t>V ostatních případech se vyřazuje bez skartačního řízení ihned po otevření.</w:t>
      </w:r>
    </w:p>
    <w:p>
      <w:pPr>
        <w:pStyle w:val="ListParagraph"/>
        <w:widowControl w:val="false"/>
        <w:numPr>
          <w:ilvl w:val="0"/>
          <w:numId w:val="6"/>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60"/>
        <w:ind w:left="426" w:hanging="426"/>
        <w:jc w:val="both"/>
        <w:rPr/>
      </w:pPr>
      <w:r>
        <w:rPr>
          <w:lang w:eastAsia="ar-SA"/>
        </w:rPr>
        <w:t>Dokumenty v digitální podobě se přijímají formou datových zpráv prostřednictvím datové schránky. E-mailové zprávy se přijímají prostřednictvím datové sítě a e-mailových schránek obce k tomu určených.</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jc w:val="center"/>
        <w:rPr>
          <w:b/>
          <w:b/>
          <w:bCs/>
          <w:szCs w:val="20"/>
          <w:lang w:eastAsia="ar-SA"/>
        </w:rPr>
      </w:pPr>
      <w:r>
        <w:rPr>
          <w:b/>
          <w:bCs/>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jc w:val="center"/>
        <w:rPr/>
      </w:pPr>
      <w:r>
        <w:rPr>
          <w:b/>
          <w:bCs/>
          <w:szCs w:val="20"/>
          <w:lang w:eastAsia="ar-SA"/>
        </w:rPr>
        <w:t>Evidence dokumentů</w:t>
      </w:r>
    </w:p>
    <w:p>
      <w:pPr>
        <w:pStyle w:val="ListParagraph"/>
        <w:widowControl w:val="false"/>
        <w:numPr>
          <w:ilvl w:val="0"/>
          <w:numId w:val="7"/>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60"/>
        <w:ind w:left="426" w:hanging="426"/>
        <w:jc w:val="both"/>
        <w:rPr/>
      </w:pPr>
      <w:r>
        <w:rPr>
          <w:lang w:eastAsia="ar-SA"/>
        </w:rPr>
        <w:t>Veškeré dokumenty úřední povahy doručené Obci nebo osobám v Obci činným a rovněž i dokumenty vzniklé z vlastní činnosti Obce musí byt evidovány v příslušné evidenci dokumentů. V evidenci dokumentů se dokumenty zapisují v numericko-chronologickém pořádku. Výjimku tvoří dokumenty, pro něž je příslušnou právní normou nebo instrukcí určena zvláštní evidence (viz odst. 2), nebo dokumenty, které nepodléhají evidenci vůbec (prospekty, reklamní letáky, pozvánky a tiskoviny nesouvisející přímo s činností Obce). Zvláštní evidence je vedena pro následující dokumenty:</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pPr>
      <w:r>
        <w:rPr>
          <w:i/>
          <w:iCs/>
          <w:szCs w:val="20"/>
          <w:shd w:fill="FFFF00" w:val="clear"/>
          <w:lang w:eastAsia="ar-SA"/>
        </w:rPr>
        <w:t>............................................................</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pPr>
      <w:r>
        <w:rPr>
          <w:i/>
          <w:iCs/>
          <w:szCs w:val="20"/>
          <w:shd w:fill="FFFF00" w:val="clear"/>
          <w:lang w:eastAsia="ar-SA"/>
        </w:rPr>
        <w:t>...........................................................</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pPr>
      <w:r>
        <w:rPr>
          <w:i/>
          <w:iCs/>
          <w:szCs w:val="20"/>
          <w:shd w:fill="FFFF00" w:val="clear"/>
          <w:lang w:eastAsia="ar-SA"/>
        </w:rPr>
        <w:t>............................................................</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pPr>
      <w:r>
        <w:rPr>
          <w:i/>
          <w:iCs/>
          <w:szCs w:val="20"/>
          <w:shd w:fill="FFFF00" w:val="clear"/>
          <w:lang w:eastAsia="ar-SA"/>
        </w:rPr>
        <w:t>...........................................................</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pPr>
      <w:r>
        <w:rPr>
          <w:i/>
          <w:iCs/>
          <w:szCs w:val="20"/>
          <w:shd w:fill="FFFF00" w:val="clear"/>
          <w:lang w:eastAsia="ar-SA"/>
        </w:rPr>
        <w:t>............................................................</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pPr>
      <w:r>
        <w:rPr>
          <w:i/>
          <w:iCs/>
          <w:szCs w:val="20"/>
          <w:shd w:fill="FFFF00" w:val="clear"/>
          <w:lang w:eastAsia="ar-SA"/>
        </w:rPr>
        <w:t>...........................................................</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i/>
          <w:i/>
          <w:iCs/>
          <w:szCs w:val="20"/>
          <w:lang w:eastAsia="ar-SA"/>
        </w:rPr>
      </w:pPr>
      <w:r>
        <w:rPr>
          <w:i/>
          <w:iCs/>
          <w:szCs w:val="20"/>
          <w:lang w:eastAsia="ar-SA"/>
        </w:rPr>
      </w:r>
    </w:p>
    <w:p>
      <w:pPr>
        <w:pStyle w:val="ListParagraph"/>
        <w:widowControl w:val="false"/>
        <w:numPr>
          <w:ilvl w:val="0"/>
          <w:numId w:val="7"/>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60"/>
        <w:ind w:left="426" w:hanging="426"/>
        <w:jc w:val="both"/>
        <w:rPr/>
      </w:pPr>
      <w:r>
        <w:rPr>
          <w:lang w:eastAsia="ar-SA"/>
        </w:rPr>
        <w:t>Pokud Obec vede spisovou službu v listinné podobě, je základní evidenční pomůckou podací deník. Podací deník je vázaná kniha, která musí být v záhlaví označena názvem Obce a rokem, v němž je používána. Obsahuje následující rubriky:</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pPr>
      <w:r>
        <w:rPr>
          <w:lang w:eastAsia="ar-SA"/>
        </w:rPr>
        <w:t>- pořadové číslo dokumentu, pod nímž je v podacím deníku evidován,</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pPr>
      <w:r>
        <w:rPr>
          <w:lang w:eastAsia="ar-SA"/>
        </w:rPr>
        <w:t>- datum doručení dokumentu, nebo datum vzniku dokumentu, jedná-li se o dokument vzniklý z vlastní činnosti Obce,</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pPr>
      <w:r>
        <w:rPr>
          <w:lang w:eastAsia="ar-SA"/>
        </w:rPr>
        <w:t>- identifikaci odesílatele; jde-li o dokument vzniklý z vlastní činnosti Obce, zapíše se jako „vlastní“,</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pPr>
      <w:r>
        <w:rPr>
          <w:lang w:eastAsia="ar-SA"/>
        </w:rPr>
        <w:t>- číslo jednací odesílatele, počet listů došlého nebo vlastního dokumentu, druh a počet příloh,</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pPr>
      <w:r>
        <w:rPr>
          <w:lang w:eastAsia="ar-SA"/>
        </w:rPr>
        <w:t>- stručný obsah dokumentu,</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pPr>
      <w:r>
        <w:rPr>
          <w:szCs w:val="20"/>
          <w:lang w:eastAsia="ar-SA"/>
        </w:rPr>
        <w:t>- způsob vyřízení a datum odeslání vyřízeného dokumentu</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pPr>
      <w:r>
        <w:rPr>
          <w:szCs w:val="20"/>
          <w:lang w:eastAsia="ar-SA"/>
        </w:rPr>
        <w:t>- spisový znak, skartační znak a lhůtu dokumentu,</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pPr>
      <w:r>
        <w:rPr>
          <w:szCs w:val="20"/>
          <w:lang w:eastAsia="ar-SA"/>
        </w:rPr>
        <w:t>- záznam o vyřazení dokumentu ve skartačním řízení.</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120"/>
        <w:ind w:left="426" w:hanging="426"/>
        <w:jc w:val="both"/>
        <w:rPr/>
      </w:pPr>
      <w:r>
        <w:rPr>
          <w:lang w:eastAsia="ar-SA"/>
        </w:rPr>
        <w:t>Každý dokument zaevidovaný v podacím deníku má vlastní číslo jednací. Číslo jednací tvoří zkratka Obce a pořadové číslo zápisu dokumentu v podacím deníku lomené běžným kalendářním rokem.</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120"/>
        <w:ind w:left="426" w:hanging="426"/>
        <w:jc w:val="both"/>
        <w:rPr/>
      </w:pPr>
      <w:r>
        <w:rPr>
          <w:lang w:eastAsia="ar-SA"/>
        </w:rPr>
        <w:t>Podání a jeho vyřízení se eviduje pod týmž číslem jednacím. Pod jedním číslem jednacím se vždy vyřizuje jedna věc. Číselná řada v podacím deníku začíná vždy 1. ledna nového kalendářního roku a končí 31. 12. Zbývající prázdné kolonky pod posledním zápisem se proškrtnou a opatří formulí „uzavřeno dne 31. 12, č.j….“ a podpisem osoby pověřeného vedením spisové služby. V případě, že počet čísel jednacích v jednom kalendářním roce přesáhne počet 3000, a to po dobu pěti let, je Obec povinna vést k podacímu deníku rejstříky (věcný, jmenný).</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120"/>
        <w:ind w:left="426" w:hanging="426"/>
        <w:jc w:val="both"/>
        <w:rPr/>
      </w:pPr>
      <w:r>
        <w:rPr>
          <w:lang w:eastAsia="ar-SA"/>
        </w:rPr>
        <w:t>Zápisy v podacím deníku se provádí trvalým způsobem a čitelně. Chybné zápisy se nepřelepují, ale škrtají se tak, aby zůstaly čitelné i po zrušení. Oprava se opatří datem a podpisem toho, kdo ji provedl.</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120"/>
        <w:ind w:left="426" w:hanging="426"/>
        <w:jc w:val="both"/>
        <w:rPr/>
      </w:pPr>
      <w:r>
        <w:rPr>
          <w:lang w:eastAsia="ar-SA"/>
        </w:rPr>
        <w:t>Zjistí-li se při zápisu nového dokumentu do podacího deníku, že v téže věci byl již zaevidován jiný dokument, připojí se předchozí dokument k novému dokumentu. Kromě podacího razítka se na novém dokumentu poznamená i číslo jednací předchozího dokumentu. V podacím deníku se u předchozího dokumentu, který se připojuje k novému dokumentu, poznamená v kolonce „spisový/skartační znak“ číslo jednací nového dokumentu, k němuž se předchozí dokument připojuje (tzv. řetězení dokumentů). Pokud se k téže věci vztahuje větší počet dokumentů, lze pro jejich evidenci použít sběrného archu.</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jc w:val="center"/>
        <w:rPr>
          <w:b/>
          <w:b/>
          <w:bCs/>
          <w:szCs w:val="20"/>
          <w:lang w:eastAsia="ar-SA"/>
        </w:rPr>
      </w:pPr>
      <w:r>
        <w:rPr>
          <w:b/>
          <w:bCs/>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jc w:val="center"/>
        <w:rPr/>
      </w:pPr>
      <w:r>
        <w:rPr>
          <w:b/>
          <w:bCs/>
          <w:szCs w:val="20"/>
          <w:lang w:eastAsia="ar-SA"/>
        </w:rPr>
        <w:t>Rozdělování a oběh dokumentů</w:t>
      </w:r>
    </w:p>
    <w:p>
      <w:pPr>
        <w:pStyle w:val="ListParagraph"/>
        <w:widowControl w:val="false"/>
        <w:numPr>
          <w:ilvl w:val="0"/>
          <w:numId w:val="9"/>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60"/>
        <w:ind w:left="426" w:hanging="426"/>
        <w:jc w:val="both"/>
        <w:rPr/>
      </w:pPr>
      <w:r>
        <w:rPr>
          <w:lang w:eastAsia="ar-SA"/>
        </w:rPr>
        <w:t>Dokumenty zaevidované v podacím deníku pověřená osoba rozdělí a předá osobě určené k vyřízení dokumentu, která jeho převzetí potvrdí.</w:t>
      </w:r>
    </w:p>
    <w:p>
      <w:pPr>
        <w:pStyle w:val="Normal"/>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426"/>
        <w:rPr>
          <w:i/>
          <w:i/>
          <w:iCs/>
          <w:lang w:eastAsia="ar-SA"/>
        </w:rPr>
      </w:pPr>
      <w:r>
        <w:rPr>
          <w:i/>
          <w:iCs/>
          <w:lang w:eastAsia="ar-SA"/>
        </w:rPr>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0"/>
        <w:rPr/>
      </w:pPr>
      <w:r>
        <w:rPr>
          <w:i/>
          <w:iCs/>
          <w:shd w:fill="FFFF00" w:val="clear"/>
          <w:lang w:eastAsia="ar-SA"/>
        </w:rPr>
        <w:t>Pověřená osoba: ................................................................</w:t>
      </w:r>
    </w:p>
    <w:p>
      <w:pPr>
        <w:pStyle w:val="Normal"/>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ind w:left="426" w:hanging="426"/>
        <w:rPr>
          <w:i/>
          <w:i/>
          <w:iCs/>
          <w:lang w:eastAsia="ar-SA"/>
        </w:rPr>
      </w:pPr>
      <w:r>
        <w:rPr>
          <w:i/>
          <w:iCs/>
          <w:lang w:eastAsia="ar-SA"/>
        </w:rPr>
      </w:r>
    </w:p>
    <w:p>
      <w:pPr>
        <w:pStyle w:val="ListParagraph"/>
        <w:widowControl w:val="false"/>
        <w:numPr>
          <w:ilvl w:val="0"/>
          <w:numId w:val="9"/>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60"/>
        <w:ind w:left="426" w:hanging="426"/>
        <w:jc w:val="both"/>
        <w:rPr/>
      </w:pPr>
      <w:r>
        <w:rPr>
          <w:lang w:eastAsia="ar-SA"/>
        </w:rPr>
        <w:t>Během vyřizování dokumentu musí být zajištěna průběžná informovanost o místě, kde se dokument v danou dobu nalézá. Tyto údaje se zaznamenávají v podacím deníku v kolonce „vyřizuje“.</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jc w:val="center"/>
        <w:rPr>
          <w:b/>
          <w:b/>
          <w:bCs/>
          <w:szCs w:val="20"/>
          <w:lang w:eastAsia="ar-SA"/>
        </w:rPr>
      </w:pPr>
      <w:r>
        <w:rPr>
          <w:b/>
          <w:bCs/>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jc w:val="center"/>
        <w:rPr>
          <w:b/>
          <w:b/>
          <w:bCs/>
          <w:szCs w:val="20"/>
          <w:lang w:eastAsia="ar-SA"/>
        </w:rPr>
      </w:pPr>
      <w:r>
        <w:rPr>
          <w:b/>
          <w:bCs/>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jc w:val="center"/>
        <w:rPr/>
      </w:pPr>
      <w:r>
        <w:rPr>
          <w:b/>
          <w:bCs/>
          <w:szCs w:val="20"/>
          <w:lang w:eastAsia="ar-SA"/>
        </w:rPr>
        <w:t>Vyřizování dokumentů</w:t>
      </w:r>
    </w:p>
    <w:p>
      <w:pPr>
        <w:pStyle w:val="ListParagraph"/>
        <w:widowControl w:val="false"/>
        <w:numPr>
          <w:ilvl w:val="0"/>
          <w:numId w:val="10"/>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120"/>
        <w:ind w:left="426" w:hanging="426"/>
        <w:jc w:val="both"/>
        <w:rPr/>
      </w:pPr>
      <w:r>
        <w:rPr>
          <w:lang w:eastAsia="ar-SA"/>
        </w:rPr>
        <w:t>Vyřízení doručeného dokumentu není evidováno samostatně, ale je připojeno k doručenému dokumentu a odesíláno pod jeho číslem jednacím. Pokud je dokument vyřízen jiným způsobem než odesláním odpovědi v listinné podobě (např. telefonicky, e-mailem, faxem, ústně), učiní o tom osoba, která ho vyřizuje, záznam. Kopii vyřízení připojí k vyřízenému dokumentu.</w:t>
      </w:r>
    </w:p>
    <w:p>
      <w:pPr>
        <w:pStyle w:val="ListParagraph"/>
        <w:widowControl w:val="false"/>
        <w:numPr>
          <w:ilvl w:val="0"/>
          <w:numId w:val="10"/>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120"/>
        <w:ind w:left="426" w:hanging="426"/>
        <w:jc w:val="both"/>
        <w:rPr/>
      </w:pPr>
      <w:r>
        <w:rPr>
          <w:lang w:eastAsia="ar-SA"/>
        </w:rPr>
        <w:t>Po vyřízení se na dokument připojí pokyn k založení, dokument se označí spisovým znakem, skartačním znakem a skartační lhůtou.</w:t>
      </w:r>
    </w:p>
    <w:p>
      <w:pPr>
        <w:pStyle w:val="ListParagraph"/>
        <w:widowControl w:val="false"/>
        <w:numPr>
          <w:ilvl w:val="0"/>
          <w:numId w:val="10"/>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120"/>
        <w:ind w:left="426" w:hanging="426"/>
        <w:jc w:val="both"/>
        <w:rPr/>
      </w:pPr>
      <w:r>
        <w:rPr>
          <w:lang w:eastAsia="ar-SA"/>
        </w:rPr>
        <w:t>Záznam o vyřízení dokumentu, včetně uvedení spisového a skartačního znaku, se poznamená do podacího deníku. Je povinností každé osoby, která dokument vyřizuje, tyto údaje do podacího deníku sdělit.</w:t>
      </w:r>
    </w:p>
    <w:p>
      <w:pPr>
        <w:pStyle w:val="ListParagraph"/>
        <w:widowControl w:val="false"/>
        <w:numPr>
          <w:ilvl w:val="0"/>
          <w:numId w:val="10"/>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120"/>
        <w:ind w:left="426" w:hanging="426"/>
        <w:jc w:val="both"/>
        <w:rPr/>
      </w:pPr>
      <w:r>
        <w:rPr>
          <w:lang w:eastAsia="ar-SA"/>
        </w:rPr>
        <w:t>Veškeré dokumenty, které se týkají projednávání téže věci, se spojují a tvoří spis</w:t>
      </w:r>
      <w:r>
        <w:rPr>
          <w:szCs w:val="20"/>
          <w:lang w:eastAsia="ar-SA"/>
        </w:rPr>
        <w:t>.</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jc w:val="center"/>
        <w:rPr>
          <w:b/>
          <w:b/>
          <w:bCs/>
          <w:szCs w:val="20"/>
          <w:lang w:eastAsia="ar-SA"/>
        </w:rPr>
      </w:pPr>
      <w:r>
        <w:rPr>
          <w:b/>
          <w:bCs/>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jc w:val="center"/>
        <w:rPr/>
      </w:pPr>
      <w:r>
        <w:rPr>
          <w:b/>
          <w:bCs/>
          <w:szCs w:val="20"/>
          <w:lang w:eastAsia="ar-SA"/>
        </w:rPr>
        <w:t>Vyhotovování dokumentů</w:t>
      </w:r>
    </w:p>
    <w:p>
      <w:pPr>
        <w:pStyle w:val="ListParagraph"/>
        <w:widowControl w:val="false"/>
        <w:numPr>
          <w:ilvl w:val="0"/>
          <w:numId w:val="11"/>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120"/>
        <w:ind w:left="426" w:hanging="426"/>
        <w:jc w:val="both"/>
        <w:rPr/>
      </w:pPr>
      <w:r>
        <w:rPr>
          <w:lang w:eastAsia="ar-SA"/>
        </w:rPr>
        <w:t>Dokumenty vzniklé z úřední činnosti Obce musí obsahovat následující náležitosti:</w:t>
      </w:r>
    </w:p>
    <w:p>
      <w:pPr>
        <w:pStyle w:val="ListParagraph"/>
        <w:widowControl w:val="false"/>
        <w:numPr>
          <w:ilvl w:val="0"/>
          <w:numId w:val="12"/>
        </w:numPr>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60"/>
        <w:jc w:val="both"/>
        <w:rPr/>
      </w:pPr>
      <w:r>
        <w:rPr>
          <w:lang w:eastAsia="ar-SA"/>
        </w:rPr>
        <w:t>záhlaví s názvem a adresou Obce nebo Obecního úřadu,</w:t>
      </w:r>
    </w:p>
    <w:p>
      <w:pPr>
        <w:pStyle w:val="ListParagraph"/>
        <w:widowControl w:val="false"/>
        <w:numPr>
          <w:ilvl w:val="0"/>
          <w:numId w:val="12"/>
        </w:numPr>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60"/>
        <w:jc w:val="both"/>
        <w:rPr/>
      </w:pPr>
      <w:r>
        <w:rPr>
          <w:lang w:eastAsia="ar-SA"/>
        </w:rPr>
        <w:t>číslo jednací (v odpovědích na doručené dokumenty se uvádí i číslo jednací došlého dokumentu, pokud jej obsahuje),</w:t>
      </w:r>
    </w:p>
    <w:p>
      <w:pPr>
        <w:pStyle w:val="ListParagraph"/>
        <w:widowControl w:val="false"/>
        <w:numPr>
          <w:ilvl w:val="0"/>
          <w:numId w:val="12"/>
        </w:numPr>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60"/>
        <w:jc w:val="both"/>
        <w:rPr/>
      </w:pPr>
      <w:r>
        <w:rPr>
          <w:lang w:eastAsia="ar-SA"/>
        </w:rPr>
        <w:t>datum (rozumí se den podpisu dokumentu),</w:t>
      </w:r>
    </w:p>
    <w:p>
      <w:pPr>
        <w:pStyle w:val="ListParagraph"/>
        <w:widowControl w:val="false"/>
        <w:numPr>
          <w:ilvl w:val="0"/>
          <w:numId w:val="12"/>
        </w:numPr>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60"/>
        <w:jc w:val="both"/>
        <w:rPr/>
      </w:pPr>
      <w:r>
        <w:rPr>
          <w:lang w:eastAsia="ar-SA"/>
        </w:rPr>
        <w:t>počet listů dokumentu,</w:t>
      </w:r>
    </w:p>
    <w:p>
      <w:pPr>
        <w:pStyle w:val="ListParagraph"/>
        <w:widowControl w:val="false"/>
        <w:numPr>
          <w:ilvl w:val="0"/>
          <w:numId w:val="12"/>
        </w:numPr>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60"/>
        <w:jc w:val="both"/>
        <w:rPr/>
      </w:pPr>
      <w:r>
        <w:rPr>
          <w:lang w:eastAsia="ar-SA"/>
        </w:rPr>
        <w:t>počet příloh,</w:t>
      </w:r>
    </w:p>
    <w:p>
      <w:pPr>
        <w:pStyle w:val="ListParagraph"/>
        <w:widowControl w:val="false"/>
        <w:numPr>
          <w:ilvl w:val="0"/>
          <w:numId w:val="12"/>
        </w:numPr>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60"/>
        <w:jc w:val="both"/>
        <w:rPr/>
      </w:pPr>
      <w:r>
        <w:rPr>
          <w:lang w:eastAsia="ar-SA"/>
        </w:rPr>
        <w:t>jméno a příjmení a funkce osoby pověřené podpisem dokumentu.</w:t>
      </w:r>
    </w:p>
    <w:p>
      <w:pPr>
        <w:pStyle w:val="ListParagraph"/>
        <w:widowControl w:val="false"/>
        <w:numPr>
          <w:ilvl w:val="0"/>
          <w:numId w:val="11"/>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120"/>
        <w:ind w:left="426" w:hanging="426"/>
        <w:jc w:val="both"/>
        <w:rPr/>
      </w:pPr>
      <w:r>
        <w:rPr>
          <w:lang w:eastAsia="ar-SA"/>
        </w:rPr>
        <w:t>Dokumenty se skartačním znakem „A“ vyhotovuje původce na trvanlivém papíru určeném pro dokumenty (ČSN ISO 9706).</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jc w:val="center"/>
        <w:rPr>
          <w:b/>
          <w:b/>
          <w:bCs/>
          <w:szCs w:val="20"/>
          <w:lang w:eastAsia="ar-SA"/>
        </w:rPr>
      </w:pPr>
      <w:r>
        <w:rPr>
          <w:b/>
          <w:bCs/>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jc w:val="center"/>
        <w:rPr/>
      </w:pPr>
      <w:r>
        <w:rPr>
          <w:b/>
          <w:bCs/>
          <w:szCs w:val="20"/>
          <w:lang w:eastAsia="ar-SA"/>
        </w:rPr>
        <w:t>Odesílání dokumentů</w:t>
      </w:r>
    </w:p>
    <w:p>
      <w:pPr>
        <w:pStyle w:val="ListParagraph"/>
        <w:widowControl w:val="false"/>
        <w:numPr>
          <w:ilvl w:val="0"/>
          <w:numId w:val="13"/>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120"/>
        <w:ind w:left="426" w:hanging="426"/>
        <w:jc w:val="both"/>
        <w:rPr/>
      </w:pPr>
      <w:r>
        <w:rPr>
          <w:lang w:eastAsia="ar-SA"/>
        </w:rPr>
        <w:t>Odesílání dokumentů zajišťuje Obec prostřednictvím výpravny, která je součástí podatelny (sekretariátu).</w:t>
      </w:r>
    </w:p>
    <w:p>
      <w:pPr>
        <w:pStyle w:val="ListParagraph"/>
        <w:widowControl w:val="false"/>
        <w:numPr>
          <w:ilvl w:val="0"/>
          <w:numId w:val="13"/>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120"/>
        <w:ind w:left="426" w:hanging="426"/>
        <w:jc w:val="both"/>
        <w:rPr/>
      </w:pPr>
      <w:r>
        <w:rPr>
          <w:lang w:eastAsia="ar-SA"/>
        </w:rPr>
        <w:t>Výpravna je místo, kde se odesílaný dokument vybavuje náležitostmi k odeslání.</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jc w:val="center"/>
        <w:rPr>
          <w:b/>
          <w:b/>
          <w:bCs/>
          <w:szCs w:val="20"/>
          <w:lang w:eastAsia="ar-SA"/>
        </w:rPr>
      </w:pPr>
      <w:r>
        <w:rPr>
          <w:b/>
          <w:bCs/>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jc w:val="center"/>
        <w:rPr/>
      </w:pPr>
      <w:r>
        <w:rPr>
          <w:b/>
          <w:bCs/>
          <w:szCs w:val="20"/>
          <w:lang w:eastAsia="ar-SA"/>
        </w:rPr>
        <w:t>Podepisování dokumentů, užívání razítek</w:t>
      </w:r>
    </w:p>
    <w:p>
      <w:pPr>
        <w:pStyle w:val="ListParagraph"/>
        <w:widowControl w:val="false"/>
        <w:numPr>
          <w:ilvl w:val="0"/>
          <w:numId w:val="14"/>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120"/>
        <w:ind w:left="426" w:hanging="426"/>
        <w:jc w:val="both"/>
        <w:rPr/>
      </w:pPr>
      <w:r>
        <w:rPr>
          <w:lang w:eastAsia="ar-SA"/>
        </w:rPr>
        <w:t>Dokumenty podepisuje osoba k tomu pověřená. Na dokumentu musí být vždy uvedeno jméno, příjmení a funkce podepisujícího.</w:t>
      </w:r>
    </w:p>
    <w:p>
      <w:pPr>
        <w:pStyle w:val="ListParagraph"/>
        <w:widowControl w:val="false"/>
        <w:numPr>
          <w:ilvl w:val="0"/>
          <w:numId w:val="14"/>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120"/>
        <w:ind w:left="426" w:hanging="426"/>
        <w:jc w:val="both"/>
        <w:rPr/>
      </w:pPr>
      <w:r>
        <w:rPr>
          <w:lang w:eastAsia="ar-SA"/>
        </w:rPr>
        <w:t>Používání razítek se řídí zvláštními předpisy.</w:t>
      </w:r>
    </w:p>
    <w:p>
      <w:pPr>
        <w:pStyle w:val="ListParagraph"/>
        <w:widowControl w:val="false"/>
        <w:numPr>
          <w:ilvl w:val="0"/>
          <w:numId w:val="14"/>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120" w:after="120"/>
        <w:ind w:left="426" w:hanging="426"/>
        <w:jc w:val="both"/>
        <w:rPr/>
      </w:pPr>
      <w:r>
        <w:rPr>
          <w:lang w:eastAsia="ar-SA"/>
        </w:rPr>
        <w:t>Obec vede evidenci razítek, v níž je dvojí otisk razítka s uvedením jména, funkce a podpisu osoby, která razítko převzala a užívá, datum převzetí, datum vrácení, datum vyřazení razítka z evidence a podpis přebírající osoby.</w:t>
      </w:r>
    </w:p>
    <w:p>
      <w:pPr>
        <w:pStyle w:val="Normal"/>
        <w:keepNext/>
        <w:numPr>
          <w:ilvl w:val="0"/>
          <w:numId w:val="0"/>
        </w:numPr>
        <w:suppressAutoHyphens w:val="true"/>
        <w:jc w:val="center"/>
        <w:outlineLvl w:val="0"/>
        <w:rPr>
          <w:b/>
          <w:b/>
          <w:szCs w:val="20"/>
          <w:lang w:eastAsia="ar-SA"/>
        </w:rPr>
      </w:pPr>
      <w:r>
        <w:rPr>
          <w:b/>
          <w:szCs w:val="20"/>
          <w:lang w:eastAsia="ar-SA"/>
        </w:rPr>
      </w:r>
    </w:p>
    <w:p>
      <w:pPr>
        <w:pStyle w:val="Normal"/>
        <w:keepNext/>
        <w:numPr>
          <w:ilvl w:val="0"/>
          <w:numId w:val="0"/>
        </w:numPr>
        <w:suppressAutoHyphens w:val="true"/>
        <w:jc w:val="center"/>
        <w:outlineLvl w:val="0"/>
        <w:rPr/>
      </w:pPr>
      <w:bookmarkStart w:id="2" w:name="_Toc422834788"/>
      <w:bookmarkEnd w:id="2"/>
      <w:r>
        <w:rPr>
          <w:b/>
          <w:szCs w:val="20"/>
          <w:lang w:eastAsia="ar-SA"/>
        </w:rPr>
        <w:t>Ukládání dokumentů v příručních registraturách</w:t>
      </w:r>
    </w:p>
    <w:p>
      <w:pPr>
        <w:pStyle w:val="ListParagraph"/>
        <w:numPr>
          <w:ilvl w:val="0"/>
          <w:numId w:val="15"/>
        </w:numPr>
        <w:spacing w:before="120" w:after="120"/>
        <w:ind w:left="426" w:hanging="426"/>
        <w:jc w:val="both"/>
        <w:rPr/>
      </w:pPr>
      <w:r>
        <w:rPr>
          <w:rFonts w:eastAsia="Calibri"/>
          <w:lang w:eastAsia="en-US"/>
        </w:rPr>
        <w:t>Prvním ukládacím místem pro vyřízené, ale stále ještě provozně potřebné a platné dokumenty včetně vlastních kopií, jsou příruční registratury jednotlivých osob. Za řádné uložení spisů zodpovídá příslušná osoba; správné uložení, označení a zabezpečení dokumentů zajišťuje příslušná osoba.</w:t>
      </w:r>
    </w:p>
    <w:p>
      <w:pPr>
        <w:pStyle w:val="ListParagraph"/>
        <w:numPr>
          <w:ilvl w:val="0"/>
          <w:numId w:val="15"/>
        </w:numPr>
        <w:spacing w:before="120" w:after="120"/>
        <w:ind w:left="426" w:hanging="426"/>
        <w:jc w:val="both"/>
        <w:rPr/>
      </w:pPr>
      <w:r>
        <w:rPr>
          <w:rFonts w:eastAsia="Calibri"/>
          <w:lang w:eastAsia="en-US"/>
        </w:rPr>
        <w:t>Dokumenty jsou podle věcného obsahu ukládány do složek. Na složky se uvede spisový znak, věcný obsah, rok vzniku a skartační znak a lhůta uvedená ve skartačním plánu. Takto vybavené složky se ukládají do šanonů nebo do archivních krabic nebo do archivních boxů (jedná-li se o dokumenty typu „A“), a to vždy podle shodného skartačního znaku a lhůty. Společný skartační znak a lhůty se nadepíší do spodní části hřbetního štítku šanonu, do horní části se vepíší spisové znaky, obsah a rok vzniku dokumentů jednotlivých složek.</w:t>
      </w:r>
    </w:p>
    <w:p>
      <w:pPr>
        <w:pStyle w:val="ListParagraph"/>
        <w:numPr>
          <w:ilvl w:val="0"/>
          <w:numId w:val="15"/>
        </w:numPr>
        <w:spacing w:before="120" w:after="120"/>
        <w:ind w:left="426" w:hanging="426"/>
        <w:jc w:val="both"/>
        <w:rPr/>
      </w:pPr>
      <w:r>
        <w:rPr>
          <w:rFonts w:eastAsia="Calibri"/>
          <w:lang w:eastAsia="en-US"/>
        </w:rPr>
        <w:t>V příručních registraturách jsou dokumenty uloženy zpravidla 1 až 2 roky a poté se připraví k předání do spisovny Obce.</w:t>
      </w:r>
    </w:p>
    <w:p>
      <w:pPr>
        <w:pStyle w:val="Normal"/>
        <w:keepNext/>
        <w:numPr>
          <w:ilvl w:val="0"/>
          <w:numId w:val="0"/>
        </w:numPr>
        <w:suppressAutoHyphens w:val="true"/>
        <w:spacing w:before="240" w:after="240"/>
        <w:jc w:val="center"/>
        <w:outlineLvl w:val="2"/>
        <w:rPr/>
      </w:pPr>
      <w:bookmarkStart w:id="3" w:name="_Toc422834789"/>
      <w:bookmarkEnd w:id="3"/>
      <w:r>
        <w:rPr>
          <w:b/>
          <w:szCs w:val="20"/>
          <w:lang w:eastAsia="ar-SA"/>
        </w:rPr>
        <w:t>Předávání dokumentů z registratur do spisovny/spisoven</w:t>
      </w:r>
    </w:p>
    <w:p>
      <w:pPr>
        <w:pStyle w:val="Normal"/>
        <w:widowControl w:val="false"/>
        <w:numPr>
          <w:ilvl w:val="0"/>
          <w:numId w:val="16"/>
        </w:numPr>
        <w:suppressAutoHyphens w:val="true"/>
        <w:ind w:left="426" w:hanging="426"/>
        <w:rPr/>
      </w:pPr>
      <w:r>
        <w:rPr>
          <w:szCs w:val="20"/>
          <w:lang w:eastAsia="ar-SA"/>
        </w:rPr>
        <w:t>Osoba odpovědná za spisovnu rozdělí dokumenty podle znaků na S a A. U případných dokumentů se znakem V provede výběr podle významu a rozdělí je rovněž na S a A. Na každou z obou skupin zpracuje předávací protokol. Protokoly opatřené dokumenty S  a A  poté předá do spisovny/spisoven.</w:t>
      </w:r>
    </w:p>
    <w:p>
      <w:pPr>
        <w:pStyle w:val="Normal"/>
        <w:widowControl w:val="false"/>
        <w:numPr>
          <w:ilvl w:val="0"/>
          <w:numId w:val="16"/>
        </w:numPr>
        <w:suppressAutoHyphens w:val="true"/>
        <w:ind w:left="426" w:hanging="426"/>
        <w:rPr/>
      </w:pPr>
      <w:r>
        <w:rPr>
          <w:szCs w:val="20"/>
          <w:lang w:eastAsia="ar-SA"/>
        </w:rPr>
        <w:t xml:space="preserve">Záznamy dat na datových nosičích se vyřazují zásadně na základě výsledku posouzení jejich obsahu. Informace datových nosičů, věcně posuzované znakem S, lze do spisovny předat v digitalizované podobě. Za jejich uchování po předepsanou dobu zodpovídá původce. Ten si může po dohodě se spisovnou ponechat nosiče dat v péči až do provedení skartačního řízení. Informace věcně označené znakem A musí být do spisovny/spisoven, vždy předány ve formě vytištěného a ověřeného dokumentu. </w:t>
      </w:r>
    </w:p>
    <w:p>
      <w:pPr>
        <w:pStyle w:val="Normal"/>
        <w:widowControl w:val="false"/>
        <w:numPr>
          <w:ilvl w:val="0"/>
          <w:numId w:val="16"/>
        </w:numPr>
        <w:suppressAutoHyphens w:val="true"/>
        <w:ind w:left="426" w:hanging="426"/>
        <w:rPr/>
      </w:pPr>
      <w:r>
        <w:rPr>
          <w:szCs w:val="20"/>
          <w:lang w:eastAsia="ar-SA"/>
        </w:rPr>
        <w:t xml:space="preserve">Ukládání dokumentů se řídí provenienčním principem, jehož úkolem je odstranit multiplicity. U hromadně se vyskytujících dokumentů jsou skartační znaky a lhůty závazné vždy jen pro originál. Multiplicitní dokumenty pak mohou být předány do ústřední spisovny odděleně od ostatní agendy, ale vždy se seznamem, k přímé skartaci, protože se na ně skartační znaky a lhůty originálů nevztahují. </w:t>
      </w:r>
    </w:p>
    <w:p>
      <w:pPr>
        <w:pStyle w:val="Normal"/>
        <w:widowControl w:val="false"/>
        <w:numPr>
          <w:ilvl w:val="0"/>
          <w:numId w:val="16"/>
        </w:numPr>
        <w:suppressAutoHyphens w:val="true"/>
        <w:ind w:left="426" w:hanging="426"/>
        <w:rPr/>
      </w:pPr>
      <w:r>
        <w:rPr>
          <w:szCs w:val="20"/>
          <w:lang w:eastAsia="ar-SA"/>
        </w:rPr>
        <w:t>Je-li v odůvodněných případech nutno z provozních důvodů některé druhy dokumentů v příruční/útvarové registratuře pozastavit, je povinností pověřených osob tuto skutečnost oznámit osobě odpovědné za spisovnu. U dokumentů A je nezbytné toto oznámení doplnit seznamem pozastavených dokumentů, aby byly v dalším stupni uložení podchyceny alespoň evidenčně - jde o základní předpoklad přehledu o stavu a uložení archiválií jako zdroje informací.</w:t>
      </w:r>
    </w:p>
    <w:p>
      <w:pPr>
        <w:pStyle w:val="Normal"/>
        <w:widowControl w:val="false"/>
        <w:numPr>
          <w:ilvl w:val="0"/>
          <w:numId w:val="16"/>
        </w:numPr>
        <w:suppressAutoHyphens w:val="true"/>
        <w:ind w:left="426" w:hanging="426"/>
        <w:rPr/>
      </w:pPr>
      <w:r>
        <w:rPr>
          <w:szCs w:val="20"/>
          <w:lang w:eastAsia="ar-SA"/>
        </w:rPr>
        <w:t xml:space="preserve">Do spisovny/spisoven, se dokumenty předávají ve stejných obalech, v jakých byly uloženy v příruční/útvarové registratuře. V těchto obalech jsou uloženy až do skartačního řízení. </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240" w:after="240"/>
        <w:jc w:val="center"/>
        <w:rPr>
          <w:b/>
          <w:b/>
          <w:szCs w:val="20"/>
          <w:lang w:eastAsia="ar-SA"/>
        </w:rPr>
      </w:pPr>
      <w:r>
        <w:rPr>
          <w:b/>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240" w:after="240"/>
        <w:jc w:val="center"/>
        <w:rPr/>
      </w:pPr>
      <w:r>
        <w:rPr>
          <w:b/>
          <w:szCs w:val="20"/>
          <w:lang w:eastAsia="ar-SA"/>
        </w:rPr>
        <w:t>Přijímání a ukládání dokumentů ve spisovně/spisovnách</w:t>
      </w:r>
    </w:p>
    <w:p>
      <w:pPr>
        <w:pStyle w:val="Normal"/>
        <w:widowControl w:val="false"/>
        <w:numPr>
          <w:ilvl w:val="0"/>
          <w:numId w:val="17"/>
        </w:numPr>
        <w:suppressAutoHyphens w:val="true"/>
        <w:ind w:left="426" w:hanging="426"/>
        <w:rPr/>
      </w:pPr>
      <w:r>
        <w:rPr>
          <w:szCs w:val="20"/>
          <w:lang w:eastAsia="ar-SA"/>
        </w:rPr>
        <w:t>Ukládacím místem pro dokumenty z příručních registratur je spisovna Obce.</w:t>
      </w:r>
    </w:p>
    <w:p>
      <w:pPr>
        <w:pStyle w:val="Normal"/>
        <w:widowControl w:val="false"/>
        <w:numPr>
          <w:ilvl w:val="0"/>
          <w:numId w:val="17"/>
        </w:numPr>
        <w:suppressAutoHyphens w:val="true"/>
        <w:ind w:left="426" w:hanging="426"/>
        <w:rPr/>
      </w:pPr>
      <w:r>
        <w:rPr>
          <w:szCs w:val="20"/>
          <w:lang w:eastAsia="ar-SA"/>
        </w:rPr>
        <w:t>Osoba odpovědná za spisovny přebírá dokumenty na základě předávacích seznamů. Po kontrole, zda seznam předávaných dokumentů odpovídá fyzické přejímce, sepíše osoba odpovědná za spisovny předávací protokol, jehož podpisem přebírá zodpovědnost za převzatou agendu.</w:t>
      </w:r>
    </w:p>
    <w:p>
      <w:pPr>
        <w:pStyle w:val="ListParagraph"/>
        <w:widowControl w:val="false"/>
        <w:numPr>
          <w:ilvl w:val="0"/>
          <w:numId w:val="17"/>
        </w:numPr>
        <w:suppressAutoHyphens w:val="true"/>
        <w:spacing w:before="120" w:after="115"/>
        <w:ind w:left="426" w:hanging="426"/>
        <w:jc w:val="both"/>
        <w:rPr/>
      </w:pPr>
      <w:r>
        <w:rPr>
          <w:szCs w:val="20"/>
          <w:lang w:eastAsia="ar-SA"/>
        </w:rPr>
        <w:t xml:space="preserve">Pro určité tematicky určené druhy dokumentů lze v případě účelnosti zřídit tzv. specializované spisovny (např. účetní, mzdovou, technickou apod.) </w:t>
      </w:r>
    </w:p>
    <w:p>
      <w:pPr>
        <w:pStyle w:val="Normal"/>
        <w:widowControl w:val="false"/>
        <w:numPr>
          <w:ilvl w:val="0"/>
          <w:numId w:val="17"/>
        </w:numPr>
        <w:suppressAutoHyphens w:val="true"/>
        <w:ind w:left="426" w:hanging="426"/>
        <w:rPr/>
      </w:pPr>
      <w:r>
        <w:rPr>
          <w:szCs w:val="20"/>
          <w:lang w:eastAsia="ar-SA"/>
        </w:rPr>
        <w:t xml:space="preserve">Osoba odpovědná za spisovny nesmí převzít dokumenty bez řádně zpracovaných předávacích protokolů. Teprve po kontrole, zda protokol odpovídá fyzické přejímce, a po podpisu protokolu přebírá zodpovědnost za převzatou agendu. </w:t>
      </w:r>
    </w:p>
    <w:p>
      <w:pPr>
        <w:pStyle w:val="Normal"/>
        <w:widowControl w:val="false"/>
        <w:numPr>
          <w:ilvl w:val="0"/>
          <w:numId w:val="17"/>
        </w:numPr>
        <w:suppressAutoHyphens w:val="true"/>
        <w:ind w:left="426" w:hanging="426"/>
        <w:rPr/>
      </w:pPr>
      <w:r>
        <w:rPr>
          <w:szCs w:val="20"/>
          <w:lang w:eastAsia="ar-SA"/>
        </w:rPr>
        <w:t>V případě, že jsou do spisovny/spisoven ukládány informace povahy S v jiné než listinné podobě, nese odpovědnost za trvanlivost jejich uložení i po předání původce, ne osoba odpovědná za spisovny.</w:t>
      </w:r>
    </w:p>
    <w:p>
      <w:pPr>
        <w:pStyle w:val="Normal"/>
        <w:widowControl w:val="false"/>
        <w:numPr>
          <w:ilvl w:val="0"/>
          <w:numId w:val="17"/>
        </w:numPr>
        <w:suppressAutoHyphens w:val="true"/>
        <w:ind w:left="426" w:hanging="426"/>
        <w:rPr/>
      </w:pPr>
      <w:r>
        <w:rPr>
          <w:szCs w:val="20"/>
          <w:lang w:eastAsia="ar-SA"/>
        </w:rPr>
        <w:t>Spisy uložené ve formě záznamů na technických nosičích dat, určené ve skartačním řízení k trvalému uložení v archivu, musí být vždy vytištěny na papír.</w:t>
      </w:r>
    </w:p>
    <w:p>
      <w:pPr>
        <w:pStyle w:val="Normal"/>
        <w:widowControl w:val="false"/>
        <w:numPr>
          <w:ilvl w:val="0"/>
          <w:numId w:val="17"/>
        </w:numPr>
        <w:suppressAutoHyphens w:val="true"/>
        <w:ind w:left="426" w:hanging="426"/>
        <w:rPr/>
      </w:pPr>
      <w:r>
        <w:rPr>
          <w:szCs w:val="20"/>
          <w:lang w:eastAsia="ar-SA"/>
        </w:rPr>
        <w:t>Ve spisovně Obce jsou dokumenty ukládány v regálech dle spisového plánu Obce. Dokumenty se ukládají v převzatých obalech, zpravidla dokumenty skupiny „S“ v šanonech, dokumenty skupiny „A“ v archivních krabicích. Dokumenty skupiny „A“ a „S“ jsou ve spisovně uloženy odděleně.</w:t>
      </w:r>
    </w:p>
    <w:p>
      <w:pPr>
        <w:pStyle w:val="Normal"/>
        <w:widowControl w:val="false"/>
        <w:numPr>
          <w:ilvl w:val="0"/>
          <w:numId w:val="17"/>
        </w:numPr>
        <w:suppressAutoHyphens w:val="true"/>
        <w:ind w:left="426" w:hanging="426"/>
        <w:rPr/>
      </w:pPr>
      <w:r>
        <w:rPr>
          <w:szCs w:val="20"/>
          <w:lang w:eastAsia="ar-SA"/>
        </w:rPr>
        <w:t>Ve spisovně/spisovnách jsou dokumenty ukládány v regálech podle věcného hlediska.</w:t>
      </w:r>
    </w:p>
    <w:p>
      <w:pPr>
        <w:pStyle w:val="Normal"/>
        <w:widowControl w:val="false"/>
        <w:numPr>
          <w:ilvl w:val="0"/>
          <w:numId w:val="17"/>
        </w:numPr>
        <w:suppressAutoHyphens w:val="true"/>
        <w:ind w:left="426" w:hanging="426"/>
        <w:rPr/>
      </w:pPr>
      <w:r>
        <w:rPr>
          <w:szCs w:val="20"/>
          <w:lang w:eastAsia="ar-SA"/>
        </w:rPr>
        <w:t>Základní evidenci spisovny tvoří soubory předávacích protokolů doplněné o lokační údaj (lze vést i dříve užívanou archivní knihu).</w:t>
      </w:r>
    </w:p>
    <w:p>
      <w:pPr>
        <w:pStyle w:val="Normal"/>
        <w:widowControl w:val="false"/>
        <w:numPr>
          <w:ilvl w:val="0"/>
          <w:numId w:val="17"/>
        </w:numPr>
        <w:suppressAutoHyphens w:val="true"/>
        <w:ind w:left="426" w:hanging="426"/>
        <w:rPr/>
      </w:pPr>
      <w:r>
        <w:rPr>
          <w:szCs w:val="20"/>
          <w:lang w:eastAsia="ar-SA"/>
        </w:rPr>
        <w:t>Dokumenty zůstávají ve spisovně Obce uloženy po dobu určenou skartační lhůtou. Po uplynutí skartační lhůty se dokumenty vyřazují ve skartačním řízení, jehož průběh upravuje skartační řád.</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240" w:after="240"/>
        <w:jc w:val="center"/>
        <w:rPr>
          <w:b/>
          <w:b/>
          <w:szCs w:val="20"/>
          <w:lang w:eastAsia="ar-SA"/>
        </w:rPr>
      </w:pPr>
      <w:r>
        <w:rPr>
          <w:b/>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before="240" w:after="240"/>
        <w:jc w:val="center"/>
        <w:rPr/>
      </w:pPr>
      <w:r>
        <w:rPr>
          <w:b/>
          <w:szCs w:val="20"/>
          <w:lang w:eastAsia="ar-SA"/>
        </w:rPr>
        <w:t>Nahlížení a výpůjčky dokumentů ze spisovny/spisoven</w:t>
      </w:r>
    </w:p>
    <w:p>
      <w:pPr>
        <w:pStyle w:val="Normal"/>
        <w:widowControl w:val="false"/>
        <w:numPr>
          <w:ilvl w:val="0"/>
          <w:numId w:val="18"/>
        </w:numPr>
        <w:suppressAutoHyphens w:val="true"/>
        <w:ind w:left="426" w:hanging="426"/>
        <w:rPr/>
      </w:pPr>
      <w:r>
        <w:rPr>
          <w:lang w:eastAsia="ar-SA"/>
        </w:rPr>
        <w:t>Ostatní osoby činné v Obci mohou vstupovat do prostor spisovny/spisoven pouze za doprovodu osoby odpovědné za spisovny.</w:t>
      </w:r>
    </w:p>
    <w:p>
      <w:pPr>
        <w:pStyle w:val="Normal"/>
        <w:widowControl w:val="false"/>
        <w:numPr>
          <w:ilvl w:val="0"/>
          <w:numId w:val="18"/>
        </w:numPr>
        <w:suppressAutoHyphens w:val="true"/>
        <w:ind w:left="426" w:hanging="426"/>
        <w:rPr/>
      </w:pPr>
      <w:r>
        <w:rPr>
          <w:lang w:eastAsia="ar-SA"/>
        </w:rPr>
        <w:t>Ostatní osoby činné v Obci mohou nahlížet do dokumentů se svou agendou. V případě potřeby nahlédnutí do jiných dokumentů je třeba souhlas osoby vedoucí příslušnou agendu.</w:t>
      </w:r>
    </w:p>
    <w:p>
      <w:pPr>
        <w:pStyle w:val="Normal"/>
        <w:widowControl w:val="false"/>
        <w:numPr>
          <w:ilvl w:val="0"/>
          <w:numId w:val="18"/>
        </w:numPr>
        <w:suppressAutoHyphens w:val="true"/>
        <w:ind w:left="426" w:hanging="426"/>
        <w:rPr/>
      </w:pPr>
      <w:r>
        <w:rPr>
          <w:lang w:eastAsia="ar-SA"/>
        </w:rPr>
        <w:t>Osoby, které nejsou osobami činnými v Obci, mohou nahlížet do dokumentů ve spisovně jen na základě povolení starosty</w:t>
      </w:r>
      <w:r>
        <w:rPr>
          <w:szCs w:val="20"/>
          <w:lang w:eastAsia="ar-SA"/>
        </w:rPr>
        <w:t xml:space="preserve"> Obce</w:t>
      </w:r>
      <w:r>
        <w:rPr>
          <w:lang w:eastAsia="ar-SA"/>
        </w:rPr>
        <w:t xml:space="preserve"> a za přítomnosti osoby odpovědné za spisovny.</w:t>
      </w:r>
    </w:p>
    <w:p>
      <w:pPr>
        <w:pStyle w:val="Normal"/>
        <w:widowControl w:val="false"/>
        <w:numPr>
          <w:ilvl w:val="0"/>
          <w:numId w:val="18"/>
        </w:numPr>
        <w:suppressAutoHyphens w:val="true"/>
        <w:ind w:left="426" w:hanging="426"/>
        <w:rPr/>
      </w:pPr>
      <w:r>
        <w:rPr>
          <w:lang w:eastAsia="ar-SA"/>
        </w:rPr>
        <w:t>Nahlížení do dokumentů se eviduje v knize návštěv.</w:t>
      </w:r>
    </w:p>
    <w:p>
      <w:pPr>
        <w:pStyle w:val="Normal"/>
        <w:widowControl w:val="false"/>
        <w:numPr>
          <w:ilvl w:val="0"/>
          <w:numId w:val="18"/>
        </w:numPr>
        <w:suppressAutoHyphens w:val="true"/>
        <w:ind w:left="426" w:hanging="426"/>
        <w:rPr/>
      </w:pPr>
      <w:r>
        <w:rPr>
          <w:lang w:eastAsia="ar-SA"/>
        </w:rPr>
        <w:t>Výpůjčky se evidují v knize výpůjček. Uskutečňují se na dohodnutou dobu a pouze na pracoviště vypůjčovatele, který potvrdí příjem podpisem. Na místo uložení dokumentu se vkládá výpůjční lístek, který se po navrácení výpůjčky zničí.</w:t>
      </w:r>
    </w:p>
    <w:p>
      <w:pPr>
        <w:pStyle w:val="Normal"/>
        <w:widowControl w:val="false"/>
        <w:suppressAutoHyphens w:val="true"/>
        <w:jc w:val="center"/>
        <w:rPr>
          <w:b/>
          <w:b/>
          <w:sz w:val="28"/>
          <w:szCs w:val="20"/>
          <w:lang w:eastAsia="ar-SA"/>
        </w:rPr>
      </w:pPr>
      <w:r>
        <w:rPr>
          <w:b/>
          <w:sz w:val="28"/>
          <w:szCs w:val="20"/>
          <w:lang w:eastAsia="ar-SA"/>
        </w:rPr>
      </w:r>
    </w:p>
    <w:p>
      <w:pPr>
        <w:pStyle w:val="Normal"/>
        <w:widowControl w:val="false"/>
        <w:suppressAutoHyphens w:val="true"/>
        <w:jc w:val="center"/>
        <w:rPr/>
      </w:pPr>
      <w:r>
        <w:rPr>
          <w:b/>
          <w:sz w:val="28"/>
          <w:szCs w:val="20"/>
          <w:lang w:eastAsia="ar-SA"/>
        </w:rPr>
        <w:t>V.</w:t>
      </w:r>
    </w:p>
    <w:p>
      <w:pPr>
        <w:pStyle w:val="Normal"/>
        <w:widowControl w:val="false"/>
        <w:suppressAutoHyphens w:val="true"/>
        <w:jc w:val="center"/>
        <w:rPr/>
      </w:pPr>
      <w:r>
        <w:rPr>
          <w:b/>
          <w:sz w:val="28"/>
          <w:szCs w:val="20"/>
          <w:lang w:eastAsia="ar-SA"/>
        </w:rPr>
        <w:t>Skartační řád</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rPr/>
      </w:pPr>
      <w:r>
        <w:rPr>
          <w:lang w:eastAsia="ar-SA"/>
        </w:rPr>
        <w:t>Skartační řád upravuje způsob a průběh skartačního řízení, tj. postup při vyřazování        veškerých dokumentů Obce, vč. dokumentů vzniklých při výkonu agendy Obce.</w:t>
      </w:r>
    </w:p>
    <w:p>
      <w:pPr>
        <w:pStyle w:val="Normal"/>
        <w:jc w:val="center"/>
        <w:rPr>
          <w:rFonts w:eastAsia="Calibri"/>
          <w:b/>
          <w:b/>
          <w:bCs/>
        </w:rPr>
      </w:pPr>
      <w:r>
        <w:rPr>
          <w:rFonts w:eastAsia="Calibri"/>
          <w:b/>
          <w:bCs/>
        </w:rPr>
      </w:r>
    </w:p>
    <w:p>
      <w:pPr>
        <w:pStyle w:val="Normal"/>
        <w:jc w:val="center"/>
        <w:rPr>
          <w:rFonts w:eastAsia="Calibri"/>
          <w:b/>
          <w:b/>
          <w:bCs/>
        </w:rPr>
      </w:pPr>
      <w:r>
        <w:rPr>
          <w:rFonts w:eastAsia="Calibri"/>
          <w:b/>
          <w:bCs/>
        </w:rPr>
      </w:r>
    </w:p>
    <w:p>
      <w:pPr>
        <w:pStyle w:val="Normal"/>
        <w:jc w:val="center"/>
        <w:rPr/>
      </w:pPr>
      <w:r>
        <w:rPr>
          <w:rFonts w:eastAsia="Calibri"/>
          <w:b/>
          <w:bCs/>
        </w:rPr>
        <w:t>Skartační řízení</w:t>
      </w:r>
    </w:p>
    <w:p>
      <w:pPr>
        <w:pStyle w:val="Normal"/>
        <w:widowControl w:val="false"/>
        <w:numPr>
          <w:ilvl w:val="0"/>
          <w:numId w:val="19"/>
        </w:numPr>
        <w:suppressAutoHyphens w:val="true"/>
        <w:ind w:left="426" w:hanging="426"/>
        <w:rPr/>
      </w:pPr>
      <w:r>
        <w:rPr>
          <w:lang w:eastAsia="ar-SA"/>
        </w:rPr>
        <w:t xml:space="preserve">Dokumenty </w:t>
      </w:r>
      <w:r>
        <w:rPr>
          <w:szCs w:val="20"/>
          <w:lang w:eastAsia="ar-SA"/>
        </w:rPr>
        <w:t>Obce</w:t>
      </w:r>
      <w:r>
        <w:rPr>
          <w:lang w:eastAsia="ar-SA"/>
        </w:rPr>
        <w:t xml:space="preserve"> nesmí být zničeny bez řádného skartačního řízení.</w:t>
      </w:r>
    </w:p>
    <w:p>
      <w:pPr>
        <w:pStyle w:val="Normal"/>
        <w:jc w:val="center"/>
        <w:rPr>
          <w:rFonts w:eastAsia="Calibri"/>
          <w:b/>
          <w:b/>
          <w:bCs/>
        </w:rPr>
      </w:pPr>
      <w:r>
        <w:rPr>
          <w:rFonts w:eastAsia="Calibri"/>
          <w:b/>
          <w:bCs/>
        </w:rPr>
      </w:r>
    </w:p>
    <w:p>
      <w:pPr>
        <w:pStyle w:val="Normal"/>
        <w:jc w:val="center"/>
        <w:rPr/>
      </w:pPr>
      <w:r>
        <w:rPr>
          <w:rFonts w:eastAsia="Calibri"/>
          <w:b/>
          <w:bCs/>
        </w:rPr>
        <w:t>Předmět skartačního řízení</w:t>
      </w:r>
    </w:p>
    <w:p>
      <w:pPr>
        <w:pStyle w:val="Normal"/>
        <w:widowControl w:val="false"/>
        <w:numPr>
          <w:ilvl w:val="0"/>
          <w:numId w:val="20"/>
        </w:numPr>
        <w:suppressAutoHyphens w:val="true"/>
        <w:ind w:left="426" w:hanging="426"/>
        <w:rPr/>
      </w:pPr>
      <w:r>
        <w:rPr>
          <w:lang w:eastAsia="ar-SA"/>
        </w:rPr>
        <w:t xml:space="preserve">Dokumenty jsou ve spisovně </w:t>
      </w:r>
      <w:r>
        <w:rPr>
          <w:szCs w:val="20"/>
          <w:lang w:eastAsia="ar-SA"/>
        </w:rPr>
        <w:t xml:space="preserve">Obce </w:t>
      </w:r>
      <w:r>
        <w:rPr>
          <w:lang w:eastAsia="ar-SA"/>
        </w:rPr>
        <w:t>uloženy po dobu stanovenou skartační lhůtou, uvedenou ve skartačním plánu. Skartační lhůta začíná běžet dnem 1. ledna roku následujícího po vyřízení, vyhotovení nebo ukončení platnosti dokumentu. Skartační lhůty nelze zkracovat. Skartační lhůta může být po dohodě s příslušným státním archivem výjimečně prodloužena, pokud Obec potřebuje dokument pro další vlastní činnost.</w:t>
      </w:r>
    </w:p>
    <w:p>
      <w:pPr>
        <w:pStyle w:val="Normal"/>
        <w:widowControl w:val="false"/>
        <w:numPr>
          <w:ilvl w:val="0"/>
          <w:numId w:val="20"/>
        </w:numPr>
        <w:suppressAutoHyphens w:val="true"/>
        <w:ind w:left="426" w:hanging="426"/>
        <w:rPr/>
      </w:pPr>
      <w:r>
        <w:rPr>
          <w:lang w:eastAsia="ar-SA"/>
        </w:rPr>
        <w:t>Skartační řízení se provádí zpravidla jednou ročně (popř. se uvede, jak často bude Obec skartovat – jednou za 3, max. 5 let) komplexně za celou Obec a jeho předmětem jsou všechny dokumenty, u nichž uplynuly skartační lhůty a razítka vyřazená z evidence.</w:t>
      </w:r>
    </w:p>
    <w:p>
      <w:pPr>
        <w:pStyle w:val="Normal"/>
        <w:widowControl w:val="false"/>
        <w:numPr>
          <w:ilvl w:val="0"/>
          <w:numId w:val="20"/>
        </w:numPr>
        <w:suppressAutoHyphens w:val="true"/>
        <w:ind w:left="426" w:hanging="426"/>
        <w:rPr/>
      </w:pPr>
      <w:r>
        <w:rPr>
          <w:lang w:eastAsia="ar-SA"/>
        </w:rPr>
        <w:t>Pokud je třeba v rámci jednoho spisu ukládat dokumenty s různou skartační lhůtou, určuje dokument s nejdelší skartační lhůtou dobu vyřazení celého spisu.</w:t>
      </w:r>
    </w:p>
    <w:p>
      <w:pPr>
        <w:pStyle w:val="Normal"/>
        <w:widowControl w:val="false"/>
        <w:numPr>
          <w:ilvl w:val="0"/>
          <w:numId w:val="20"/>
        </w:numPr>
        <w:suppressAutoHyphens w:val="true"/>
        <w:ind w:left="426" w:hanging="426"/>
        <w:rPr/>
      </w:pPr>
      <w:r>
        <w:rPr>
          <w:lang w:eastAsia="ar-SA"/>
        </w:rPr>
        <w:t>Skartační řízení je spojeno s výběrem archiválií.</w:t>
      </w:r>
    </w:p>
    <w:p>
      <w:pPr>
        <w:pStyle w:val="Normal"/>
        <w:widowControl w:val="false"/>
        <w:suppressAutoHyphens w:val="true"/>
        <w:ind w:left="426" w:hanging="0"/>
        <w:rPr>
          <w:lang w:eastAsia="ar-SA"/>
        </w:rPr>
      </w:pPr>
      <w:r>
        <w:rPr>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jc w:val="center"/>
        <w:rPr>
          <w:b/>
          <w:b/>
          <w:szCs w:val="20"/>
          <w:lang w:eastAsia="ar-SA"/>
        </w:rPr>
      </w:pPr>
      <w:r>
        <w:rPr>
          <w:b/>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jc w:val="center"/>
        <w:rPr/>
      </w:pPr>
      <w:r>
        <w:rPr>
          <w:b/>
          <w:szCs w:val="20"/>
          <w:lang w:eastAsia="ar-SA"/>
        </w:rPr>
        <w:t>Průběh skartačního řízení</w:t>
      </w:r>
    </w:p>
    <w:p>
      <w:pPr>
        <w:pStyle w:val="Normal"/>
        <w:widowControl w:val="false"/>
        <w:numPr>
          <w:ilvl w:val="0"/>
          <w:numId w:val="21"/>
        </w:numPr>
        <w:suppressAutoHyphens w:val="true"/>
        <w:ind w:left="426" w:hanging="426"/>
        <w:rPr/>
      </w:pPr>
      <w:r>
        <w:rPr>
          <w:lang w:eastAsia="ar-SA"/>
        </w:rPr>
        <w:t>K provedení skartačního řízení sestaví Obec skartační komisi, jejímž členem je vždy osoba odpovědná za spisovny. Ta vyhotoví seznam dokumentů „</w:t>
      </w:r>
      <w:r>
        <w:rPr>
          <w:b/>
          <w:lang w:eastAsia="ar-SA"/>
        </w:rPr>
        <w:t>A</w:t>
      </w:r>
      <w:r>
        <w:rPr>
          <w:lang w:eastAsia="ar-SA"/>
        </w:rPr>
        <w:t>“ a seznam dokumentů „</w:t>
      </w:r>
      <w:r>
        <w:rPr>
          <w:b/>
          <w:lang w:eastAsia="ar-SA"/>
        </w:rPr>
        <w:t>S</w:t>
      </w:r>
      <w:r>
        <w:rPr>
          <w:lang w:eastAsia="ar-SA"/>
        </w:rPr>
        <w:t>“ (u dokumentů „</w:t>
      </w:r>
      <w:r>
        <w:rPr>
          <w:b/>
          <w:lang w:eastAsia="ar-SA"/>
        </w:rPr>
        <w:t>V</w:t>
      </w:r>
      <w:r>
        <w:rPr>
          <w:lang w:eastAsia="ar-SA"/>
        </w:rPr>
        <w:t>“ provede osoba odpovědná za spisovny předběžný výběr a připojí je dle charakteru odděleně k seznamu dokumentů „</w:t>
      </w:r>
      <w:r>
        <w:rPr>
          <w:b/>
          <w:lang w:eastAsia="ar-SA"/>
        </w:rPr>
        <w:t>S</w:t>
      </w:r>
      <w:r>
        <w:rPr>
          <w:lang w:eastAsia="ar-SA"/>
        </w:rPr>
        <w:t>“ nebo „</w:t>
      </w:r>
      <w:r>
        <w:rPr>
          <w:b/>
          <w:lang w:eastAsia="ar-SA"/>
        </w:rPr>
        <w:t>A</w:t>
      </w:r>
      <w:r>
        <w:rPr>
          <w:lang w:eastAsia="ar-SA"/>
        </w:rPr>
        <w:t>“), kterým uplynula skartační lhůta. K takto vytvořeným seznamům připojí skartační návrh, který je následně podepsán členy skartační komise a starostou Obce a zaslán spolu se seznamy dokumentů příslušnému státnímu archivu. Všechny seznamy dokumentů se zasílají dvojmo.</w:t>
      </w:r>
    </w:p>
    <w:p>
      <w:pPr>
        <w:pStyle w:val="Normal"/>
        <w:widowControl w:val="false"/>
        <w:numPr>
          <w:ilvl w:val="0"/>
          <w:numId w:val="21"/>
        </w:numPr>
        <w:suppressAutoHyphens w:val="true"/>
        <w:ind w:left="426" w:hanging="426"/>
        <w:rPr/>
      </w:pPr>
      <w:r>
        <w:rPr>
          <w:lang w:eastAsia="ar-SA"/>
        </w:rPr>
        <w:t>Na základě předloženého skartačního návrhu provede pověřený zaměstnanec příslušného státního archivu (dále jen „archivář“) odbornou archivní prohlídku dokumentů a razítek navrhovaných k vyřazení, pří níž:</w:t>
      </w:r>
    </w:p>
    <w:p>
      <w:pPr>
        <w:pStyle w:val="Normal"/>
        <w:widowControl w:val="false"/>
        <w:suppressAutoHyphens w:val="true"/>
        <w:ind w:left="426" w:hanging="0"/>
        <w:rPr/>
      </w:pPr>
      <w:r>
        <w:rPr>
          <w:lang w:eastAsia="ar-SA"/>
        </w:rPr>
        <w:t xml:space="preserve">a) posoudí, zda dokumenty se skartačním znakem „A“ odpovídají kritériím stanoveným zákonem k prohlášení za archiválie, </w:t>
      </w:r>
    </w:p>
    <w:p>
      <w:pPr>
        <w:pStyle w:val="Normal"/>
        <w:widowControl w:val="false"/>
        <w:suppressAutoHyphens w:val="true"/>
        <w:ind w:left="426" w:hanging="0"/>
        <w:rPr/>
      </w:pPr>
      <w:r>
        <w:rPr>
          <w:lang w:eastAsia="ar-SA"/>
        </w:rPr>
        <w:t xml:space="preserve">b) posoudí, zda dokumenty se skartačním znakem „S“ nemají trvalou archivní hodnotu; pokud zjistí, že trvalou archivní hodnotu mají, přeřadí je mezi dokumenty se skartačním znakem „A“, </w:t>
      </w:r>
    </w:p>
    <w:p>
      <w:pPr>
        <w:pStyle w:val="Normal"/>
        <w:widowControl w:val="false"/>
        <w:suppressAutoHyphens w:val="true"/>
        <w:ind w:left="426" w:hanging="0"/>
        <w:rPr/>
      </w:pPr>
      <w:r>
        <w:rPr>
          <w:lang w:eastAsia="ar-SA"/>
        </w:rPr>
        <w:t>c) posoudí zařazení dokumentů se skartačním znakem „V“ mezi dokumenty určené k prohlášení za archiválie nebo mezi dokumenty určené ke zničení,</w:t>
      </w:r>
    </w:p>
    <w:p>
      <w:pPr>
        <w:pStyle w:val="Normal"/>
        <w:widowControl w:val="false"/>
        <w:suppressAutoHyphens w:val="true"/>
        <w:ind w:left="426" w:hanging="0"/>
        <w:rPr/>
      </w:pPr>
      <w:r>
        <w:rPr>
          <w:lang w:eastAsia="ar-SA"/>
        </w:rPr>
        <w:t>d) uloží skartační komisi sepsat seznam dokumentů určených k uložení v archivu a seznam dokumentů určených ke skartaci,</w:t>
      </w:r>
    </w:p>
    <w:p>
      <w:pPr>
        <w:pStyle w:val="Normal"/>
        <w:widowControl w:val="false"/>
        <w:suppressAutoHyphens w:val="true"/>
        <w:ind w:left="426" w:hanging="0"/>
        <w:rPr/>
      </w:pPr>
      <w:r>
        <w:rPr>
          <w:lang w:eastAsia="ar-SA"/>
        </w:rPr>
        <w:t>e) dohodne se skartační komisí dobu a způsob předání archiválií k uložení do archivu.</w:t>
        <w:tab/>
      </w:r>
    </w:p>
    <w:p>
      <w:pPr>
        <w:pStyle w:val="Normal"/>
        <w:widowControl w:val="false"/>
        <w:numPr>
          <w:ilvl w:val="0"/>
          <w:numId w:val="21"/>
        </w:numPr>
        <w:suppressAutoHyphens w:val="true"/>
        <w:ind w:left="425" w:hanging="425"/>
        <w:rPr/>
      </w:pPr>
      <w:r>
        <w:rPr>
          <w:lang w:eastAsia="ar-SA"/>
        </w:rPr>
        <w:t>O provedeném skartačním řízení vyhotoví archivář protokol o skartačním řízení, který obsahuje soupis dokumentů, které byly vybrány za archiválie, se zařazením dokumentů do příslušné kategorie a soupis dokumentů, které lze skartovat. Nedílnou součástí protokolu je poučení o právu Obce podat námitku proti výsledku posouzení dokumentů. Případným podáním námitky je zahájeno správní řízení.</w:t>
      </w:r>
    </w:p>
    <w:p>
      <w:pPr>
        <w:pStyle w:val="Normal"/>
        <w:widowControl w:val="false"/>
        <w:numPr>
          <w:ilvl w:val="0"/>
          <w:numId w:val="21"/>
        </w:numPr>
        <w:suppressAutoHyphens w:val="true"/>
        <w:ind w:left="426" w:hanging="426"/>
        <w:rPr/>
      </w:pPr>
      <w:r>
        <w:rPr>
          <w:lang w:eastAsia="ar-SA"/>
        </w:rPr>
        <w:t>Na základě povolení ke zničení dokumentů skupiny „S“ zařídí odpovědný osoba jejich likvidaci způsobem, aby nedošlo ke zneužití informací v nich obsažených.</w:t>
      </w:r>
    </w:p>
    <w:p>
      <w:pPr>
        <w:pStyle w:val="Normal"/>
        <w:widowControl w:val="false"/>
        <w:numPr>
          <w:ilvl w:val="0"/>
          <w:numId w:val="21"/>
        </w:numPr>
        <w:suppressAutoHyphens w:val="true"/>
        <w:ind w:left="426" w:hanging="426"/>
        <w:rPr/>
      </w:pPr>
      <w:r>
        <w:rPr>
          <w:lang w:eastAsia="ar-SA"/>
        </w:rPr>
        <w:t>Státní archiv vybere z dokumentů typu „A“ archiválie, teprve ty budou předány na základě záznamu o předání do státního archivu.</w:t>
      </w:r>
    </w:p>
    <w:p>
      <w:pPr>
        <w:pStyle w:val="Normal"/>
        <w:widowControl w:val="false"/>
        <w:suppressAutoHyphens w:val="true"/>
        <w:jc w:val="center"/>
        <w:rPr>
          <w:b/>
          <w:b/>
          <w:szCs w:val="20"/>
          <w:lang w:eastAsia="ar-SA"/>
        </w:rPr>
      </w:pPr>
      <w:r>
        <w:rPr>
          <w:b/>
          <w:szCs w:val="20"/>
          <w:lang w:eastAsia="ar-SA"/>
        </w:rPr>
      </w:r>
    </w:p>
    <w:p>
      <w:pPr>
        <w:pStyle w:val="Normal"/>
        <w:widowControl w:val="false"/>
        <w:suppressAutoHyphens w:val="true"/>
        <w:jc w:val="center"/>
        <w:rPr/>
      </w:pPr>
      <w:r>
        <w:rPr>
          <w:b/>
          <w:szCs w:val="20"/>
          <w:lang w:eastAsia="ar-SA"/>
        </w:rPr>
        <w:t>Vyřazování multiplicitních dokumentů</w:t>
      </w:r>
    </w:p>
    <w:p>
      <w:pPr>
        <w:pStyle w:val="Normal"/>
        <w:widowControl w:val="false"/>
        <w:numPr>
          <w:ilvl w:val="0"/>
          <w:numId w:val="22"/>
        </w:numPr>
        <w:suppressAutoHyphens w:val="true"/>
        <w:ind w:left="426" w:hanging="426"/>
        <w:rPr/>
      </w:pPr>
      <w:r>
        <w:rPr>
          <w:lang w:eastAsia="ar-SA"/>
        </w:rPr>
        <w:t>Multiplicitní dokumenty předané v souladu s provenienčním principem se ukládají ve spisovně odděleně od ostatních převzatých dokumentů a zařadí se do nejbližšího skartačního řízení.</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jc w:val="center"/>
        <w:rPr>
          <w:b/>
          <w:b/>
          <w:bCs/>
          <w:szCs w:val="20"/>
          <w:lang w:eastAsia="ar-SA"/>
        </w:rPr>
      </w:pPr>
      <w:r>
        <w:rPr>
          <w:b/>
          <w:bCs/>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jc w:val="center"/>
        <w:rPr/>
      </w:pPr>
      <w:r>
        <w:rPr>
          <w:b/>
          <w:bCs/>
          <w:szCs w:val="20"/>
          <w:lang w:eastAsia="ar-SA"/>
        </w:rPr>
        <w:br/>
        <w:t>Pravomoc příslušného státního archivu</w:t>
      </w:r>
    </w:p>
    <w:p>
      <w:pPr>
        <w:pStyle w:val="ListParagraph"/>
        <w:widowControl w:val="false"/>
        <w:numPr>
          <w:ilvl w:val="0"/>
          <w:numId w:val="23"/>
        </w:numPr>
        <w:suppressAutoHyphens w:val="true"/>
        <w:spacing w:before="120" w:after="115"/>
        <w:ind w:left="425" w:hanging="425"/>
        <w:jc w:val="both"/>
        <w:rPr/>
      </w:pPr>
      <w:r>
        <w:rPr>
          <w:lang w:eastAsia="ar-SA"/>
        </w:rPr>
        <w:t xml:space="preserve">Příslušný archiv sleduje ukládání a postup při vyřazování dokumentů, provádí výběr archiválií. Za tímto účelem mohou jeho pověření zaměstnanci vstupovat do prostor všech spisoven Obce. </w:t>
      </w:r>
    </w:p>
    <w:p>
      <w:pPr>
        <w:pStyle w:val="ListParagraph"/>
        <w:widowControl w:val="false"/>
        <w:suppressAutoHyphens w:val="true"/>
        <w:spacing w:before="0" w:after="115"/>
        <w:ind w:left="425" w:hanging="0"/>
        <w:rPr>
          <w:lang w:eastAsia="ar-SA"/>
        </w:rPr>
      </w:pPr>
      <w:r>
        <w:rPr>
          <w:lang w:eastAsia="ar-SA"/>
        </w:rPr>
      </w:r>
    </w:p>
    <w:p>
      <w:pPr>
        <w:pStyle w:val="ListParagraph"/>
        <w:widowControl w:val="false"/>
        <w:suppressAutoHyphens w:val="true"/>
        <w:spacing w:before="0" w:after="115"/>
        <w:ind w:left="425" w:hanging="0"/>
        <w:rPr>
          <w:lang w:eastAsia="ar-SA"/>
        </w:rPr>
      </w:pPr>
      <w:r>
        <w:rPr>
          <w:lang w:eastAsia="ar-SA"/>
        </w:rPr>
      </w:r>
    </w:p>
    <w:p>
      <w:pPr>
        <w:pStyle w:val="Normal"/>
        <w:widowControl w:val="false"/>
        <w:tabs>
          <w:tab w:val="left" w:pos="11664" w:leader="none"/>
          <w:tab w:val="left" w:pos="12528" w:leader="none"/>
          <w:tab w:val="left" w:pos="13392" w:leader="none"/>
          <w:tab w:val="left" w:pos="14256" w:leader="none"/>
          <w:tab w:val="left" w:pos="15120" w:leader="none"/>
          <w:tab w:val="left" w:pos="15984" w:leader="none"/>
          <w:tab w:val="left" w:pos="16848" w:leader="none"/>
          <w:tab w:val="left" w:pos="17712" w:leader="none"/>
          <w:tab w:val="left" w:pos="18576" w:leader="none"/>
          <w:tab w:val="left" w:pos="19440" w:leader="none"/>
          <w:tab w:val="left" w:pos="20304" w:leader="none"/>
          <w:tab w:val="left" w:pos="21168" w:leader="none"/>
          <w:tab w:val="left" w:pos="22032" w:leader="none"/>
          <w:tab w:val="left" w:pos="22896" w:leader="none"/>
          <w:tab w:val="left" w:pos="23760" w:leader="none"/>
          <w:tab w:val="left" w:pos="24624" w:leader="none"/>
          <w:tab w:val="left" w:pos="25488" w:leader="none"/>
          <w:tab w:val="left" w:pos="26352" w:leader="none"/>
          <w:tab w:val="left" w:pos="27216" w:leader="none"/>
          <w:tab w:val="left" w:pos="28080" w:leader="none"/>
          <w:tab w:val="left" w:pos="28944" w:leader="none"/>
          <w:tab w:val="left" w:pos="29808" w:leader="none"/>
        </w:tabs>
        <w:suppressAutoHyphens w:val="true"/>
        <w:jc w:val="center"/>
        <w:rPr/>
      </w:pPr>
      <w:r>
        <w:rPr>
          <w:b/>
          <w:sz w:val="28"/>
          <w:szCs w:val="20"/>
          <w:lang w:eastAsia="ar-SA"/>
        </w:rPr>
        <w:t>VI.</w:t>
      </w:r>
    </w:p>
    <w:p>
      <w:pPr>
        <w:pStyle w:val="Normal"/>
        <w:widowControl w:val="false"/>
        <w:tabs>
          <w:tab w:val="left" w:pos="11664" w:leader="none"/>
          <w:tab w:val="left" w:pos="12528" w:leader="none"/>
          <w:tab w:val="left" w:pos="13392" w:leader="none"/>
          <w:tab w:val="left" w:pos="14256" w:leader="none"/>
          <w:tab w:val="left" w:pos="15120" w:leader="none"/>
          <w:tab w:val="left" w:pos="15984" w:leader="none"/>
          <w:tab w:val="left" w:pos="16848" w:leader="none"/>
          <w:tab w:val="left" w:pos="17712" w:leader="none"/>
          <w:tab w:val="left" w:pos="18576" w:leader="none"/>
          <w:tab w:val="left" w:pos="19440" w:leader="none"/>
          <w:tab w:val="left" w:pos="20304" w:leader="none"/>
          <w:tab w:val="left" w:pos="21168" w:leader="none"/>
          <w:tab w:val="left" w:pos="22032" w:leader="none"/>
          <w:tab w:val="left" w:pos="22896" w:leader="none"/>
          <w:tab w:val="left" w:pos="23760" w:leader="none"/>
          <w:tab w:val="left" w:pos="24624" w:leader="none"/>
          <w:tab w:val="left" w:pos="25488" w:leader="none"/>
          <w:tab w:val="left" w:pos="26352" w:leader="none"/>
          <w:tab w:val="left" w:pos="27216" w:leader="none"/>
          <w:tab w:val="left" w:pos="28080" w:leader="none"/>
          <w:tab w:val="left" w:pos="28944" w:leader="none"/>
          <w:tab w:val="left" w:pos="29808" w:leader="none"/>
        </w:tabs>
        <w:suppressAutoHyphens w:val="true"/>
        <w:jc w:val="center"/>
        <w:rPr/>
      </w:pPr>
      <w:r>
        <w:rPr>
          <w:b/>
          <w:sz w:val="28"/>
          <w:szCs w:val="20"/>
          <w:lang w:eastAsia="ar-SA"/>
        </w:rPr>
        <w:t>Závěrečná ustanovení</w:t>
      </w:r>
    </w:p>
    <w:p>
      <w:pPr>
        <w:pStyle w:val="Normal"/>
        <w:widowControl w:val="false"/>
        <w:numPr>
          <w:ilvl w:val="0"/>
          <w:numId w:val="24"/>
        </w:numPr>
        <w:suppressAutoHyphens w:val="true"/>
        <w:ind w:left="426" w:hanging="426"/>
        <w:rPr/>
      </w:pPr>
      <w:r>
        <w:rPr>
          <w:lang w:eastAsia="ar-SA"/>
        </w:rPr>
        <w:t>Tento Spisový a skartační řád byl přezkoumán příslušným archivem.</w:t>
      </w:r>
    </w:p>
    <w:p>
      <w:pPr>
        <w:pStyle w:val="Normal"/>
        <w:widowControl w:val="false"/>
        <w:numPr>
          <w:ilvl w:val="0"/>
          <w:numId w:val="24"/>
        </w:numPr>
        <w:suppressAutoHyphens w:val="true"/>
        <w:ind w:left="426" w:hanging="426"/>
        <w:rPr/>
      </w:pPr>
      <w:r>
        <w:rPr>
          <w:lang w:eastAsia="ar-SA"/>
        </w:rPr>
        <w:t>Nedílnou součástí tohoto Spisového a skartačního řádu jsou tyto jeho přílohy:</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rPr>
          <w:lang w:eastAsia="ar-SA"/>
        </w:rPr>
      </w:pPr>
      <w:r>
        <w:rPr>
          <w:lang w:eastAsia="ar-SA"/>
        </w:rPr>
      </w:r>
    </w:p>
    <w:p>
      <w:pPr>
        <w:pStyle w:val="Normal"/>
        <w:widowControl w:val="false"/>
        <w:suppressAutoHyphens w:val="true"/>
        <w:rPr/>
      </w:pPr>
      <w:r>
        <w:rPr>
          <w:b/>
          <w:lang w:eastAsia="ar-SA"/>
        </w:rPr>
        <w:t>Přílohy:</w:t>
      </w:r>
    </w:p>
    <w:p>
      <w:pPr>
        <w:pStyle w:val="Normal"/>
        <w:widowControl w:val="false"/>
        <w:numPr>
          <w:ilvl w:val="0"/>
          <w:numId w:val="25"/>
        </w:numPr>
        <w:suppressAutoHyphens w:val="true"/>
        <w:ind w:left="426" w:hanging="426"/>
        <w:rPr/>
      </w:pPr>
      <w:r>
        <w:rPr>
          <w:shd w:fill="FFFF00" w:val="clear"/>
          <w:lang w:eastAsia="ar-SA"/>
        </w:rPr>
        <w:t>Spisový a skartační plán</w:t>
      </w:r>
    </w:p>
    <w:p>
      <w:pPr>
        <w:pStyle w:val="Normal"/>
        <w:widowControl w:val="false"/>
        <w:suppressAutoHyphens w:val="true"/>
        <w:rPr>
          <w:shd w:fill="FFFF00" w:val="clear"/>
          <w:lang w:eastAsia="ar-SA"/>
        </w:rPr>
      </w:pPr>
      <w:r>
        <w:rPr>
          <w:shd w:fill="FFFF00" w:val="clear"/>
          <w:lang w:eastAsia="ar-SA"/>
        </w:rPr>
      </w:r>
    </w:p>
    <w:p>
      <w:pPr>
        <w:pStyle w:val="Normal"/>
        <w:widowControl w:val="false"/>
        <w:suppressAutoHyphens w:val="true"/>
        <w:rPr>
          <w:shd w:fill="FFFF00" w:val="clear"/>
          <w:lang w:eastAsia="ar-SA"/>
        </w:rPr>
      </w:pPr>
      <w:r>
        <w:rPr>
          <w:shd w:fill="FFFF00" w:val="clear"/>
          <w:lang w:eastAsia="ar-SA"/>
        </w:rPr>
      </w:r>
    </w:p>
    <w:p>
      <w:pPr>
        <w:pStyle w:val="Normal"/>
        <w:widowControl w:val="false"/>
        <w:suppressAutoHyphens w:val="true"/>
        <w:rPr/>
      </w:pPr>
      <w:r>
        <w:rPr>
          <w:lang w:eastAsia="ar-SA"/>
        </w:rPr>
        <w:t xml:space="preserve">V </w:t>
      </w:r>
      <w:r>
        <w:rPr>
          <w:shd w:fill="FFFF00" w:val="clear"/>
          <w:lang w:eastAsia="ar-SA"/>
        </w:rPr>
        <w:t>.................</w:t>
      </w:r>
      <w:r>
        <w:rPr>
          <w:lang w:eastAsia="ar-SA"/>
        </w:rPr>
        <w:t xml:space="preserve"> dne </w:t>
      </w:r>
      <w:r>
        <w:rPr>
          <w:shd w:fill="FFFF00" w:val="clear"/>
          <w:lang w:eastAsia="ar-SA"/>
        </w:rPr>
        <w:t>…………………</w:t>
      </w:r>
    </w:p>
    <w:p>
      <w:pPr>
        <w:pStyle w:val="Normal"/>
        <w:widowControl w:val="false"/>
        <w:suppressAutoHyphens w:val="true"/>
        <w:rPr>
          <w:lang w:eastAsia="ar-SA"/>
        </w:rPr>
      </w:pPr>
      <w:r>
        <w:rPr>
          <w:lang w:eastAsia="ar-SA"/>
        </w:rPr>
      </w:r>
    </w:p>
    <w:p>
      <w:pPr>
        <w:pStyle w:val="Normal"/>
        <w:rPr>
          <w:lang w:eastAsia="ar-SA"/>
        </w:rPr>
      </w:pPr>
      <w:r>
        <w:rPr>
          <w:lang w:eastAsia="ar-SA"/>
        </w:rPr>
      </w:r>
    </w:p>
    <w:p>
      <w:pPr>
        <w:pStyle w:val="StylNormlnwebVerdana10b"/>
        <w:spacing w:before="0" w:after="120"/>
        <w:jc w:val="both"/>
        <w:rPr/>
      </w:pPr>
      <w:r>
        <w:rPr>
          <w:rFonts w:ascii="Times New Roman" w:hAnsi="Times New Roman"/>
          <w:sz w:val="24"/>
          <w:shd w:fill="FFFF00" w:val="clear"/>
        </w:rPr>
        <w:t>RAZÍTKO OBCE</w:t>
      </w:r>
    </w:p>
    <w:p>
      <w:pPr>
        <w:pStyle w:val="StylNormlnwebVerdana10b"/>
        <w:spacing w:before="0" w:after="120"/>
        <w:jc w:val="both"/>
        <w:rPr>
          <w:rFonts w:ascii="Times New Roman" w:hAnsi="Times New Roman"/>
          <w:sz w:val="24"/>
        </w:rPr>
      </w:pPr>
      <w:r>
        <w:rPr>
          <w:rFonts w:ascii="Times New Roman" w:hAnsi="Times New Roman"/>
          <w:sz w:val="24"/>
        </w:rPr>
      </w:r>
    </w:p>
    <w:p>
      <w:pPr>
        <w:pStyle w:val="StylNormlnwebVerdana10b"/>
        <w:spacing w:before="0" w:after="120"/>
        <w:jc w:val="both"/>
        <w:rPr/>
      </w:pPr>
      <w:r>
        <w:rPr>
          <w:rFonts w:ascii="Times New Roman" w:hAnsi="Times New Roman"/>
          <w:sz w:val="24"/>
          <w:shd w:fill="FFFF00" w:val="clear"/>
        </w:rPr>
        <w:t>.....................................</w:t>
      </w:r>
    </w:p>
    <w:p>
      <w:pPr>
        <w:pStyle w:val="StylNormlnwebVerdana10b"/>
        <w:spacing w:before="0" w:after="120"/>
        <w:jc w:val="both"/>
        <w:rPr/>
      </w:pPr>
      <w:r>
        <w:rPr>
          <w:rFonts w:ascii="Times New Roman" w:hAnsi="Times New Roman"/>
          <w:sz w:val="24"/>
          <w:shd w:fill="FFFF00" w:val="clear"/>
        </w:rPr>
        <w:t>Jméno, Příjmení</w:t>
      </w:r>
    </w:p>
    <w:p>
      <w:pPr>
        <w:pStyle w:val="Normal"/>
        <w:spacing w:lineRule="auto" w:line="259" w:before="0" w:after="160"/>
        <w:jc w:val="left"/>
        <w:rPr/>
      </w:pPr>
      <w:r>
        <w:rPr>
          <w:shd w:fill="FFFF00" w:val="clear"/>
        </w:rPr>
        <w:t>Funkce</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Liberation Sans">
    <w:altName w:val="Arial"/>
    <w:charset w:val="ee"/>
    <w:family w:val="swiss"/>
    <w:pitch w:val="variable"/>
  </w:font>
  <w:font w:name="Verdana">
    <w:charset w:val="ee"/>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2">
    <w:lvl w:ilvl="0">
      <w:start w:val="1"/>
      <w:numFmt w:val="decimal"/>
      <w:lvlText w:val="%1."/>
      <w:lvlJc w:val="left"/>
      <w:pPr>
        <w:ind w:left="720" w:hanging="360"/>
      </w:pPr>
      <w:rPr>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bullet"/>
      <w:lvlText w:val="·"/>
      <w:lvlJc w:val="left"/>
      <w:pPr>
        <w:ind w:left="0" w:hanging="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decimal"/>
      <w:lvlText w:val="%1."/>
      <w:lvlJc w:val="left"/>
      <w:pPr>
        <w:ind w:left="735" w:hanging="360"/>
      </w:pPr>
      <w:rPr>
        <w:sz w:val="24"/>
        <w:b/>
        <w:szCs w:val="24"/>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3"/>
      <w:numFmt w:val="bullet"/>
      <w:lvlText w:val="-"/>
      <w:lvlJc w:val="left"/>
      <w:pPr>
        <w:ind w:left="786" w:hanging="360"/>
      </w:pPr>
      <w:rPr>
        <w:rFonts w:ascii="Times New Roman" w:hAnsi="Times New Roman" w:cs="Times New Roman" w:hint="default"/>
        <w:sz w:val="24"/>
        <w:b/>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cs="Wingdings" w:hint="default"/>
      </w:rPr>
    </w:lvl>
    <w:lvl w:ilvl="3">
      <w:start w:val="1"/>
      <w:numFmt w:val="bullet"/>
      <w:lvlText w:val=""/>
      <w:lvlJc w:val="left"/>
      <w:pPr>
        <w:ind w:left="2946" w:hanging="360"/>
      </w:pPr>
      <w:rPr>
        <w:rFonts w:ascii="Symbol" w:hAnsi="Symbol" w:cs="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cs="Wingdings" w:hint="default"/>
      </w:rPr>
    </w:lvl>
    <w:lvl w:ilvl="6">
      <w:start w:val="1"/>
      <w:numFmt w:val="bullet"/>
      <w:lvlText w:val=""/>
      <w:lvlJc w:val="left"/>
      <w:pPr>
        <w:ind w:left="5106" w:hanging="360"/>
      </w:pPr>
      <w:rPr>
        <w:rFonts w:ascii="Symbol" w:hAnsi="Symbol" w:cs="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cs="Wingdings" w:hint="default"/>
      </w:rPr>
    </w:lvl>
  </w:abstractNum>
  <w:abstractNum w:abstractNumId="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lvl w:ilvl="0">
      <w:start w:val="1"/>
      <w:numFmt w:val="decimal"/>
      <w:lvlText w:val="%1."/>
      <w:lvlJc w:val="left"/>
      <w:pPr>
        <w:ind w:left="720" w:hanging="360"/>
      </w:pPr>
      <w:rPr>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lvl w:ilvl="0">
      <w:start w:val="1"/>
      <w:numFmt w:val="decimal"/>
      <w:lvlText w:val="%1."/>
      <w:lvlJc w:val="left"/>
      <w:pPr>
        <w:ind w:left="720" w:hanging="360"/>
      </w:pPr>
      <w:rPr>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lvl w:ilvl="0">
      <w:start w:val="1"/>
      <w:numFmt w:val="decimal"/>
      <w:lvlText w:val="%1."/>
      <w:lvlJc w:val="left"/>
      <w:pPr>
        <w:ind w:left="720" w:hanging="360"/>
      </w:pPr>
      <w:rPr>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lvl w:ilvl="0">
      <w:start w:val="1"/>
      <w:numFmt w:val="decimal"/>
      <w:lvlText w:val="%1."/>
      <w:lvlJc w:val="left"/>
      <w:pPr>
        <w:ind w:left="720" w:hanging="360"/>
      </w:pPr>
      <w:rPr>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lvl w:ilvl="0">
      <w:start w:val="1"/>
      <w:numFmt w:val="decimal"/>
      <w:lvlText w:val="%1."/>
      <w:lvlJc w:val="left"/>
      <w:pPr>
        <w:ind w:left="720" w:hanging="360"/>
      </w:pPr>
      <w:rPr>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lvl w:ilvl="0">
      <w:start w:val="1"/>
      <w:numFmt w:val="decimal"/>
      <w:lvlText w:val="%1."/>
      <w:lvlJc w:val="left"/>
      <w:pPr>
        <w:ind w:left="720" w:hanging="360"/>
      </w:pPr>
      <w:rPr>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lvl w:ilvl="0">
      <w:start w:val="1"/>
      <w:numFmt w:val="decimal"/>
      <w:lvlText w:val="%1."/>
      <w:lvlJc w:val="left"/>
      <w:pPr>
        <w:ind w:left="720" w:hanging="360"/>
      </w:pPr>
      <w:rPr>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lvl w:ilvl="0">
      <w:start w:val="1"/>
      <w:numFmt w:val="decimal"/>
      <w:lvlText w:val="%1."/>
      <w:lvlJc w:val="left"/>
      <w:pPr>
        <w:ind w:left="720" w:hanging="360"/>
      </w:pPr>
      <w:rPr>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lvl w:ilvl="0">
      <w:start w:val="1"/>
      <w:numFmt w:val="decimal"/>
      <w:lvlText w:val="%1."/>
      <w:lvlJc w:val="left"/>
      <w:pPr>
        <w:ind w:left="720" w:hanging="360"/>
      </w:pPr>
      <w:rPr>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w="http://schemas.openxmlformats.org/wordprocessingml/2006/main">
  <w:zoom w:percent="12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cs-CZ" w:eastAsia="zh-CN" w:bidi="hi-IN"/>
      </w:rPr>
    </w:rPrDefault>
    <w:pPrDefault>
      <w:pPr/>
    </w:pPrDefault>
  </w:docDefaults>
  <w:style w:type="paragraph" w:styleId="Normal">
    <w:name w:val="Normal"/>
    <w:qFormat/>
    <w:pPr>
      <w:widowControl w:val="false"/>
      <w:suppressAutoHyphens w:val="true"/>
    </w:pPr>
    <w:rPr>
      <w:rFonts w:ascii="Liberation Serif" w:hAnsi="Liberation Serif" w:eastAsia="SimSun" w:cs="Mangal"/>
      <w:color w:val="auto"/>
      <w:sz w:val="24"/>
      <w:szCs w:val="24"/>
      <w:lang w:val="cs-CZ" w:eastAsia="zh-CN" w:bidi="hi-IN"/>
    </w:rPr>
  </w:style>
  <w:style w:type="paragraph" w:styleId="Nadpis2">
    <w:name w:val="Nadpis 2"/>
    <w:basedOn w:val="Normal"/>
    <w:pPr>
      <w:keepNext/>
      <w:keepLines/>
      <w:numPr>
        <w:ilvl w:val="1"/>
        <w:numId w:val="1"/>
      </w:numPr>
      <w:spacing w:before="200" w:after="120"/>
      <w:ind w:left="578" w:hanging="578"/>
      <w:outlineLvl w:val="1"/>
      <w:outlineLvl w:val="1"/>
    </w:pPr>
    <w:rPr>
      <w:rFonts w:ascii="Calibri" w:hAnsi="Calibri" w:eastAsia="" w:cs="" w:asciiTheme="minorHAnsi" w:cstheme="majorBidi" w:eastAsiaTheme="majorEastAsia" w:hAnsiTheme="minorHAnsi"/>
      <w:b/>
      <w:bCs/>
      <w:sz w:val="28"/>
      <w:szCs w:val="28"/>
    </w:rPr>
  </w:style>
  <w:style w:type="character" w:styleId="ListLabel10">
    <w:name w:val="ListLabel 10"/>
    <w:qFormat/>
    <w:rPr>
      <w:b/>
      <w:i w:val="false"/>
    </w:rPr>
  </w:style>
  <w:style w:type="character" w:styleId="ListLabel9">
    <w:name w:val="ListLabel 9"/>
    <w:qFormat/>
    <w:rPr>
      <w:color w:val="000000"/>
    </w:rPr>
  </w:style>
  <w:style w:type="character" w:styleId="ListLabel11">
    <w:name w:val="ListLabel 11"/>
    <w:qFormat/>
    <w:rPr>
      <w:rFonts w:cs="Times New Roman"/>
      <w:b/>
      <w:sz w:val="24"/>
      <w:szCs w:val="24"/>
    </w:rPr>
  </w:style>
  <w:style w:type="character" w:styleId="ListLabel3">
    <w:name w:val="ListLabel 3"/>
    <w:qFormat/>
    <w:rPr>
      <w:rFonts w:ascii="Times New Roman" w:hAnsi="Times New Roman" w:eastAsia="Times New Roman" w:cs="Times New Roman"/>
      <w:b/>
      <w:sz w:val="24"/>
    </w:rPr>
  </w:style>
  <w:style w:type="character" w:styleId="ListLabel4">
    <w:name w:val="ListLabel 4"/>
    <w:qFormat/>
    <w:rPr>
      <w:rFonts w:cs="Courier New"/>
    </w:rPr>
  </w:style>
  <w:style w:type="paragraph" w:styleId="Nadpis">
    <w:name w:val="Nadpis"/>
    <w:basedOn w:val="Normal"/>
    <w:next w:val="Tlotextu"/>
    <w:qFormat/>
    <w:pPr>
      <w:keepNext/>
      <w:spacing w:before="240" w:after="120"/>
    </w:pPr>
    <w:rPr>
      <w:rFonts w:ascii="Liberation Sans" w:hAnsi="Liberation Sans" w:eastAsia="Microsoft YaHei" w:cs="Mangal"/>
      <w:sz w:val="28"/>
      <w:szCs w:val="28"/>
    </w:rPr>
  </w:style>
  <w:style w:type="paragraph" w:styleId="Tlotextu">
    <w:name w:val="Tělo textu"/>
    <w:basedOn w:val="Normal"/>
    <w:pPr>
      <w:spacing w:lineRule="auto" w:line="288" w:before="0" w:after="140"/>
    </w:pPr>
    <w:rPr/>
  </w:style>
  <w:style w:type="paragraph" w:styleId="Seznam">
    <w:name w:val="Seznam"/>
    <w:basedOn w:val="Tlotextu"/>
    <w:pPr/>
    <w:rPr>
      <w:rFonts w:cs="Mangal"/>
    </w:rPr>
  </w:style>
  <w:style w:type="paragraph" w:styleId="Popisek">
    <w:name w:val="Popisek"/>
    <w:basedOn w:val="Normal"/>
    <w:pPr>
      <w:suppressLineNumbers/>
      <w:spacing w:before="120" w:after="120"/>
    </w:pPr>
    <w:rPr>
      <w:rFonts w:cs="Mangal"/>
      <w:i/>
      <w:iCs/>
      <w:sz w:val="24"/>
      <w:szCs w:val="24"/>
    </w:rPr>
  </w:style>
  <w:style w:type="paragraph" w:styleId="Rejstk">
    <w:name w:val="Rejstřík"/>
    <w:basedOn w:val="Normal"/>
    <w:qFormat/>
    <w:pPr>
      <w:suppressLineNumbers/>
    </w:pPr>
    <w:rPr>
      <w:rFonts w:cs="Mangal"/>
    </w:rPr>
  </w:style>
  <w:style w:type="paragraph" w:styleId="ListParagraph">
    <w:name w:val="List Paragraph"/>
    <w:basedOn w:val="Normal"/>
    <w:qFormat/>
    <w:pPr>
      <w:spacing w:before="0" w:after="0"/>
      <w:ind w:left="720" w:hanging="0"/>
      <w:contextualSpacing/>
      <w:jc w:val="left"/>
    </w:pPr>
    <w:rPr>
      <w:rFonts w:eastAsia="Times New Roman" w:cs="Times New Roman"/>
      <w:szCs w:val="24"/>
      <w:lang w:eastAsia="cs-CZ"/>
    </w:rPr>
  </w:style>
  <w:style w:type="paragraph" w:styleId="StylNormlnwebVerdana10b">
    <w:name w:val="Styl Normální (web) + Verdana 10 b."/>
    <w:qFormat/>
    <w:pPr>
      <w:widowControl w:val="false"/>
      <w:suppressAutoHyphens w:val="true"/>
      <w:spacing w:before="0" w:after="280"/>
      <w:jc w:val="left"/>
    </w:pPr>
    <w:rPr>
      <w:rFonts w:ascii="Verdana" w:hAnsi="Verdana" w:eastAsia="Times New Roman" w:cs="Mangal"/>
      <w:color w:val="auto"/>
      <w:sz w:val="20"/>
      <w:szCs w:val="24"/>
      <w:lang w:eastAsia="ar-SA" w:val="cs-CZ"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LibreOffice/4.4.3.2$Windows_x86 LibreOffice_project/88805f81e9fe61362df02b9941de8e38a9b5fd16</Application>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2015-08-19T12:17:28Z</dcterms:created>
  <dc:language>cs-CZ</dc:language>
  <dcterms:modified xsi:type="dcterms:W3CDTF">2015-08-19T12:17:54Z</dcterms:modified>
  <cp:revision>1</cp:revision>
</cp:coreProperties>
</file>