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71"/>
      <w:r>
        <w:rPr/>
        <w:t xml:space="preserve">Vzorový dokument </w:t>
      </w:r>
      <w:bookmarkStart w:id="1" w:name="__DdeLink__41347_285616632"/>
      <w:bookmarkEnd w:id="0"/>
      <w:bookmarkEnd w:id="1"/>
      <w:r>
        <w:rPr/>
        <w:t>02-4 – Veřejná zakázka malého rozsahu – Výzva k podání nabídek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Výzva k podání nabídek</w:t>
      </w:r>
      <w:r>
        <w:rPr>
          <w:rStyle w:val="Ukotvenpoznmkypodarou"/>
          <w:b/>
          <w:sz w:val="32"/>
          <w:szCs w:val="32"/>
        </w:rPr>
        <w:footnoteReference w:id="2"/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8779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3172"/>
        <w:gridCol w:w="5606"/>
      </w:tblGrid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Číslo veřejné zakázky</w:t>
            </w:r>
            <w:r>
              <w:rPr/>
              <w:t xml:space="preserve"> (bude doplněno poskytovatelem dotace)</w:t>
            </w:r>
            <w:r>
              <w:rPr>
                <w:rStyle w:val="Ukotvenpoznmkypodarou"/>
              </w:rPr>
              <w:footnoteReference w:id="3"/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Název programu: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Registrační číslo projektu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Název projektu: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Název veřejné zakázky: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Předmět veřejné zakázky (</w:t>
            </w:r>
            <w:r>
              <w:rPr/>
              <w:t xml:space="preserve">služba/dodávka/stavební práce) </w:t>
            </w:r>
            <w:r>
              <w:rPr>
                <w:b/>
              </w:rPr>
              <w:t>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Datum vyhlášení veřejné zakázky: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Název/ obchodní firma zadavatele, právní forma: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Sídlo zadavatele: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Osoba oprávněná jednat jménem zadavatele</w:t>
            </w:r>
            <w:r>
              <w:rPr/>
              <w:t>, vč. kontaktních údajů (telefon a emailová adresa)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IČ zadavatele: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DIČ zadavatele: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Kontaktní osoba zadavatele</w:t>
            </w:r>
            <w:r>
              <w:rPr/>
              <w:t>, vč. kontaktních údajů (telefon a emailová adresa):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Lhůta pro podávání nabídek</w:t>
            </w:r>
            <w:r>
              <w:rPr/>
              <w:t xml:space="preserve"> (data zahájení a ukončení příjmu, vč. času)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Popis předmětu veřejné zakázky: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Autospacing="1" w:afterAutospacing="1"/>
              <w:ind w:left="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Předpokládaná hodnota veřejné zakázky v Kč</w:t>
            </w:r>
            <w:r>
              <w:rPr/>
              <w:t>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i/>
              </w:rPr>
              <w:t>Povinně se uvádí předpokládaná hodnota veřejné zakázky bez DPH, možno uvést i cenu s DPH.</w:t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Typ veřejné zakázky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i/>
              </w:rPr>
              <w:t>Uvedení informace, že se nejedná o zadávací řízení podle zákona č. 137/2006 Sb., o veřejných zakázkách.</w:t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Lhůta pro dodání</w:t>
            </w:r>
            <w:r>
              <w:rPr/>
              <w:t xml:space="preserve"> (zpracování veřejné zakázky)/ časový harmonogram plnění/ doba trvání veřejné zakázky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Místa dodání/převzetí plnění</w:t>
            </w:r>
            <w:r>
              <w:rPr/>
              <w:t>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Hodnotící kritéria</w:t>
            </w:r>
            <w:r>
              <w:rPr/>
              <w:t>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jc w:val="both"/>
              <w:rPr/>
            </w:pPr>
            <w:r>
              <w:rPr>
                <w:i/>
              </w:rPr>
              <w:t>Nabídková cena (povinné kritérium)</w:t>
            </w:r>
          </w:p>
          <w:p>
            <w:pPr>
              <w:pStyle w:val="ListParagraph"/>
              <w:numPr>
                <w:ilvl w:val="0"/>
                <w:numId w:val="2"/>
              </w:numPr>
              <w:jc w:val="both"/>
              <w:rPr/>
            </w:pPr>
            <w:r>
              <w:rPr>
                <w:i/>
              </w:rPr>
              <w:t>Případná další hodnotící kritéria</w:t>
            </w:r>
          </w:p>
          <w:p>
            <w:pPr>
              <w:pStyle w:val="ListParagraph"/>
              <w:ind w:left="360" w:hanging="0"/>
              <w:jc w:val="both"/>
              <w:rPr/>
            </w:pPr>
            <w:r>
              <w:rPr>
                <w:i/>
              </w:rPr>
              <w:t xml:space="preserve"> </w:t>
            </w:r>
            <w:r>
              <w:rPr>
                <w:i/>
              </w:rPr>
              <w:t>(včetně % váhy jednotlivých kritérií a způsobu jejich hodnocení, pokud toto není součástí samostatné zadávací dokumentace)</w:t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Požadavky na prokázání splnění základní a profesní kvalifikace dodavatele</w:t>
            </w:r>
            <w:r>
              <w:rPr/>
              <w:t>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rPr/>
            </w:pPr>
            <w:r>
              <w:rPr>
                <w:i/>
                <w:sz w:val="24"/>
                <w:szCs w:val="24"/>
              </w:rPr>
              <w:t>Povinně se uvádí, pokud je prokazování splnění kvalifikace požadováno pro vybraný druh výběrového řízení dle hodnoty předpokládané ceny dodávky. V ostatních případech záleží na uvážení zadavatele.</w:t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Požadavek na uvedení kontaktní osoby uchazeče</w:t>
            </w:r>
            <w:r>
              <w:rPr/>
              <w:t>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i/>
              </w:rPr>
              <w:t>Požadavek, aby uchazeč ve své nabídce uvedl kontaktní osobu ve věci veřejné zakázky, její telefon a e-mailovou adresu.</w:t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 xml:space="preserve">Požadavek na písemnou formu nabídky </w:t>
            </w:r>
            <w:r>
              <w:rPr/>
              <w:t>(včetně požadavků na písemné zpracování smlouvy dodavatelem)</w:t>
            </w:r>
            <w:r>
              <w:rPr>
                <w:b/>
              </w:rPr>
              <w:t>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i/>
              </w:rPr>
              <w:t>Požadavek, že nabídka musí být zadavateli podána v písemné formě. Požadavek na písemnou formu je považován za splněný tehdy, pokud je nabídka podepsána osobou oprávněnou jednat jménem uchazeče.</w:t>
            </w:r>
          </w:p>
          <w:p>
            <w:pPr>
              <w:pStyle w:val="Normal"/>
              <w:rPr/>
            </w:pPr>
            <w:r>
              <w:rPr>
                <w:i/>
              </w:rPr>
              <w:t>Pokud zadavatel připouští elektronické podání nabídky, musí uvést požadavek, aby, byla opatřena elektronickým podpisem</w:t>
            </w:r>
            <w:r>
              <w:rPr>
                <w:rStyle w:val="Ukotvenpoznmkypodarou"/>
                <w:i/>
              </w:rPr>
              <w:footnoteReference w:id="4"/>
            </w:r>
            <w:r>
              <w:rPr>
                <w:i/>
              </w:rPr>
              <w:t xml:space="preserve"> uchazeče nebo osoby oprávněné jednat za nebo jménem uchazeče nebo aby bylo k nabídce přiloženo nebo v nabídce uvedeno prohlášení podepsané uchazečem nebo osobou oprávněnou jednat za nebo jménem uchazeče s uvedením výslovného souhlasu s obsahem nabídky.</w:t>
            </w:r>
          </w:p>
          <w:p>
            <w:pPr>
              <w:pStyle w:val="Normal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 xml:space="preserve">Požadavek na zpracování nabídky a způsob zpracování nabídkové ceny 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i/>
              </w:rPr>
              <w:t>Uvádí se, pokud neexistuje samostatná zadávací dokumentace.</w:t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Povinnost uchovávat doklady a umožnit kontrolu: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i/>
              </w:rPr>
              <w:t>Požadavek, že Smlouva s vybraným dodavatelem musí zavazovat dodavatele, aby umožnil všem subjektům oprávněným k výkonu kontroly projektu, z jehož prostředků je dodávka hrazena, provést kontrolu dokladů souvisejících s plněním veřejné zakázky, a to po dobu danou právními předpisy ČR k jejich archivaci (zákon č. 563/1991 Sb., o účetnictví, a zákon č. 235/2004 Sb., o dani z přidané hodnoty).</w:t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Další podmínky pro plnění veřejné zakázky: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i/>
              </w:rPr>
              <w:t>Stanovení, v jakém jazyce má být nabídka podána.</w:t>
            </w:r>
          </w:p>
          <w:p>
            <w:pPr>
              <w:pStyle w:val="Normal"/>
              <w:rPr/>
            </w:pPr>
            <w:r>
              <w:rPr>
                <w:i/>
              </w:rPr>
              <w:t>Další případné podmínky pro plnění.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i/>
              </w:rPr>
              <w:t xml:space="preserve">Uvádí se v případě, že zadávací dokumentace existuje jako samostatný dokument. </w:t>
            </w:r>
          </w:p>
        </w:tc>
      </w:tr>
      <w:tr>
        <w:trPr/>
        <w:tc>
          <w:tcPr>
            <w:tcW w:w="87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 xml:space="preserve">Zadavatel si vyhrazuje právo zadávací řízení před jeho ukončením zrušit. </w:t>
            </w:r>
          </w:p>
        </w:tc>
      </w:tr>
    </w:tbl>
    <w:p>
      <w:pPr>
        <w:pStyle w:val="Tlotextu"/>
        <w:tabs>
          <w:tab w:val="left" w:pos="0" w:leader="none"/>
          <w:tab w:val="left" w:pos="426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left" w:pos="15840" w:leader="none"/>
          <w:tab w:val="left" w:pos="16560" w:leader="none"/>
          <w:tab w:val="left" w:pos="17280" w:leader="none"/>
          <w:tab w:val="left" w:pos="18000" w:leader="none"/>
          <w:tab w:val="left" w:pos="18720" w:leader="none"/>
          <w:tab w:val="left" w:pos="19440" w:leader="none"/>
          <w:tab w:val="left" w:pos="20160" w:leader="none"/>
          <w:tab w:val="left" w:pos="20880" w:leader="none"/>
          <w:tab w:val="left" w:pos="21600" w:leader="none"/>
          <w:tab w:val="left" w:pos="22320" w:leader="none"/>
          <w:tab w:val="left" w:pos="23040" w:leader="none"/>
          <w:tab w:val="left" w:pos="23760" w:leader="none"/>
          <w:tab w:val="left" w:pos="24480" w:leader="none"/>
          <w:tab w:val="left" w:pos="25200" w:leader="none"/>
          <w:tab w:val="left" w:pos="25920" w:leader="none"/>
          <w:tab w:val="left" w:pos="26640" w:leader="none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cs="Times New Roman" w:ascii="Times New Roman" w:hAnsi="Times New Roman"/>
          <w:sz w:val="24"/>
          <w:szCs w:val="24"/>
          <w:lang w:val="cs-CZ"/>
        </w:rPr>
      </w:r>
    </w:p>
    <w:p>
      <w:pPr>
        <w:pStyle w:val="Tlotextu"/>
        <w:tabs>
          <w:tab w:val="left" w:pos="0" w:leader="none"/>
          <w:tab w:val="left" w:pos="426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left" w:pos="15840" w:leader="none"/>
          <w:tab w:val="left" w:pos="16560" w:leader="none"/>
          <w:tab w:val="left" w:pos="17280" w:leader="none"/>
          <w:tab w:val="left" w:pos="18000" w:leader="none"/>
          <w:tab w:val="left" w:pos="18720" w:leader="none"/>
          <w:tab w:val="left" w:pos="19440" w:leader="none"/>
          <w:tab w:val="left" w:pos="20160" w:leader="none"/>
          <w:tab w:val="left" w:pos="20880" w:leader="none"/>
          <w:tab w:val="left" w:pos="21600" w:leader="none"/>
          <w:tab w:val="left" w:pos="22320" w:leader="none"/>
          <w:tab w:val="left" w:pos="23040" w:leader="none"/>
          <w:tab w:val="left" w:pos="23760" w:leader="none"/>
          <w:tab w:val="left" w:pos="24480" w:leader="none"/>
          <w:tab w:val="left" w:pos="25200" w:leader="none"/>
          <w:tab w:val="left" w:pos="25920" w:leader="none"/>
          <w:tab w:val="left" w:pos="26640" w:leader="none"/>
        </w:tabs>
        <w:rPr/>
      </w:pPr>
      <w:r>
        <w:rPr>
          <w:rFonts w:cs="Times New Roman" w:ascii="Times New Roman" w:hAnsi="Times New Roman"/>
          <w:i/>
          <w:sz w:val="24"/>
          <w:szCs w:val="24"/>
          <w:lang w:val="cs-CZ"/>
        </w:rPr>
        <w:t>Pozn.: Oznámení o zahájení výběrového řízení, resp. výzva k podání nabídek, odeslaná uchazečům, musí být podepsána zadavatelem /oprávněnou osobou.</w:t>
      </w:r>
    </w:p>
    <w:p>
      <w:pPr>
        <w:pStyle w:val="Tlotextu"/>
        <w:tabs>
          <w:tab w:val="left" w:pos="0" w:leader="none"/>
          <w:tab w:val="left" w:pos="426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left" w:pos="15840" w:leader="none"/>
          <w:tab w:val="left" w:pos="16560" w:leader="none"/>
          <w:tab w:val="left" w:pos="17280" w:leader="none"/>
          <w:tab w:val="left" w:pos="18000" w:leader="none"/>
          <w:tab w:val="left" w:pos="18720" w:leader="none"/>
          <w:tab w:val="left" w:pos="19440" w:leader="none"/>
          <w:tab w:val="left" w:pos="20160" w:leader="none"/>
          <w:tab w:val="left" w:pos="20880" w:leader="none"/>
          <w:tab w:val="left" w:pos="21600" w:leader="none"/>
          <w:tab w:val="left" w:pos="22320" w:leader="none"/>
          <w:tab w:val="left" w:pos="23040" w:leader="none"/>
          <w:tab w:val="left" w:pos="23760" w:leader="none"/>
          <w:tab w:val="left" w:pos="24480" w:leader="none"/>
          <w:tab w:val="left" w:pos="25200" w:leader="none"/>
          <w:tab w:val="left" w:pos="25920" w:leader="none"/>
          <w:tab w:val="left" w:pos="26640" w:leader="none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cs="Times New Roman" w:ascii="Times New Roman" w:hAnsi="Times New Roman"/>
          <w:sz w:val="24"/>
          <w:szCs w:val="24"/>
          <w:lang w:val="cs-CZ"/>
        </w:rPr>
      </w:r>
    </w:p>
    <w:p>
      <w:pPr>
        <w:pStyle w:val="Tlotextu"/>
        <w:tabs>
          <w:tab w:val="left" w:pos="0" w:leader="none"/>
          <w:tab w:val="left" w:pos="426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left" w:pos="15840" w:leader="none"/>
          <w:tab w:val="left" w:pos="16560" w:leader="none"/>
          <w:tab w:val="left" w:pos="17280" w:leader="none"/>
          <w:tab w:val="left" w:pos="18000" w:leader="none"/>
          <w:tab w:val="left" w:pos="18720" w:leader="none"/>
          <w:tab w:val="left" w:pos="19440" w:leader="none"/>
          <w:tab w:val="left" w:pos="20160" w:leader="none"/>
          <w:tab w:val="left" w:pos="20880" w:leader="none"/>
          <w:tab w:val="left" w:pos="21600" w:leader="none"/>
          <w:tab w:val="left" w:pos="22320" w:leader="none"/>
          <w:tab w:val="left" w:pos="23040" w:leader="none"/>
          <w:tab w:val="left" w:pos="23760" w:leader="none"/>
          <w:tab w:val="left" w:pos="24480" w:leader="none"/>
          <w:tab w:val="left" w:pos="25200" w:leader="none"/>
          <w:tab w:val="left" w:pos="25920" w:leader="none"/>
          <w:tab w:val="left" w:pos="26640" w:leader="none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cs="Times New Roman" w:ascii="Times New Roman" w:hAnsi="Times New Roman"/>
          <w:sz w:val="24"/>
          <w:szCs w:val="24"/>
          <w:lang w:val="cs-CZ"/>
        </w:rPr>
      </w:r>
    </w:p>
    <w:p>
      <w:pPr>
        <w:pStyle w:val="Normal"/>
        <w:rPr/>
      </w:pPr>
      <w:r>
        <w:rPr/>
        <w:t xml:space="preserve">Kontaktní osoba </w:t>
      </w:r>
    </w:p>
    <w:p>
      <w:pPr>
        <w:pStyle w:val="Normal"/>
        <w:rPr/>
      </w:pPr>
      <w:r>
        <w:rPr/>
      </w:r>
    </w:p>
    <w:tbl>
      <w:tblPr>
        <w:tblW w:w="8709" w:type="dxa"/>
        <w:jc w:val="left"/>
        <w:tblInd w:w="7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  <w:tblLook w:noVBand="0" w:val="0000" w:noHBand="0" w:lastColumn="0" w:firstColumn="0" w:lastRow="0" w:firstRow="0"/>
      </w:tblPr>
      <w:tblGrid>
        <w:gridCol w:w="3158"/>
        <w:gridCol w:w="5550"/>
      </w:tblGrid>
      <w:tr>
        <w:trPr/>
        <w:tc>
          <w:tcPr>
            <w:tcW w:w="3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ind w:left="57" w:hanging="0"/>
              <w:rPr/>
            </w:pPr>
            <w:r>
              <w:rPr/>
              <w:t>Jméno:</w:t>
            </w:r>
          </w:p>
        </w:tc>
        <w:tc>
          <w:tcPr>
            <w:tcW w:w="5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ind w:left="57" w:hanging="0"/>
              <w:rPr/>
            </w:pPr>
            <w:r>
              <w:rPr/>
            </w:r>
          </w:p>
        </w:tc>
      </w:tr>
      <w:tr>
        <w:trPr/>
        <w:tc>
          <w:tcPr>
            <w:tcW w:w="3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ind w:left="57" w:hanging="0"/>
              <w:rPr/>
            </w:pPr>
            <w:r>
              <w:rPr/>
              <w:t>Příjmení:</w:t>
            </w:r>
          </w:p>
        </w:tc>
        <w:tc>
          <w:tcPr>
            <w:tcW w:w="5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ind w:left="57" w:hanging="0"/>
              <w:rPr/>
            </w:pPr>
            <w:r>
              <w:rPr/>
            </w:r>
          </w:p>
        </w:tc>
      </w:tr>
      <w:tr>
        <w:trPr/>
        <w:tc>
          <w:tcPr>
            <w:tcW w:w="3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ind w:left="57" w:hanging="0"/>
              <w:rPr/>
            </w:pPr>
            <w:r>
              <w:rPr/>
              <w:t>E-mail:</w:t>
            </w:r>
          </w:p>
        </w:tc>
        <w:tc>
          <w:tcPr>
            <w:tcW w:w="5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ind w:left="57" w:hanging="0"/>
              <w:rPr/>
            </w:pPr>
            <w:r>
              <w:rPr/>
            </w:r>
          </w:p>
        </w:tc>
      </w:tr>
      <w:tr>
        <w:trPr/>
        <w:tc>
          <w:tcPr>
            <w:tcW w:w="3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ind w:left="57" w:hanging="0"/>
              <w:rPr/>
            </w:pPr>
            <w:r>
              <w:rPr/>
              <w:t>Telefon:</w:t>
            </w:r>
          </w:p>
        </w:tc>
        <w:tc>
          <w:tcPr>
            <w:tcW w:w="5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ind w:left="57" w:hanging="0"/>
              <w:rPr/>
            </w:pPr>
            <w:r>
              <w:rPr/>
            </w:r>
          </w:p>
        </w:tc>
      </w:tr>
    </w:tbl>
    <w:p>
      <w:pPr>
        <w:pStyle w:val="Normal"/>
        <w:spacing w:lineRule="auto" w:line="259" w:before="0" w:after="160"/>
        <w:jc w:val="left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Pokud poskytovatel dotace uveřejnil vlastní formuláře, je vhodné užít formuláře poskytovatele. Obec se tímto vyhne případnému opomenutí některého požadovaných údajů.</w:t>
      </w:r>
    </w:p>
  </w:footnote>
  <w:footnote w:id="3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Číslo zakázky bude doplněno před zveřejněním.</w:t>
      </w:r>
    </w:p>
  </w:footnote>
  <w:footnote w:id="4">
    <w:p>
      <w:pPr>
        <w:pStyle w:val="Poznmkapodarou"/>
        <w:rPr/>
      </w:pPr>
      <w:r>
        <w:rPr/>
        <w:footnoteRef/>
        <w:tab/>
        <w:t xml:space="preserve"> </w:t>
      </w:r>
      <w:r>
        <w:rPr/>
        <w:t>V souladu se zákonem č. 227/2000 Sb., o elektronickém podpisu a o změně některých dalších zákonů (zákon o elektronickém podpisu), ve znění pozdějších předpisů.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Footnotereference">
    <w:name w:val="footnote reference"/>
    <w:qFormat/>
    <w:rPr>
      <w:vertAlign w:val="superscript"/>
    </w:rPr>
  </w:style>
  <w:style w:type="character" w:styleId="ListLabel4">
    <w:name w:val="ListLabel 4"/>
    <w:qFormat/>
    <w:rPr>
      <w:rFonts w:cs="Courier New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Poznmkapodarou">
    <w:name w:val="Poznámka pod čarou"/>
    <w:basedOn w:val="Normal"/>
    <w:pPr>
      <w:suppressLineNumbers/>
      <w:ind w:left="339" w:hanging="339"/>
    </w:pPr>
    <w:rPr>
      <w:sz w:val="20"/>
      <w:szCs w:val="20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  <w:jc w:val="left"/>
    </w:pPr>
    <w:rPr>
      <w:rFonts w:eastAsia="Times New Roman" w:cs="Times New Roman"/>
      <w:szCs w:val="24"/>
      <w:lang w:eastAsia="cs-CZ"/>
    </w:rPr>
  </w:style>
  <w:style w:type="paragraph" w:styleId="Footnotetext">
    <w:name w:val="footnote text"/>
    <w:basedOn w:val="Normal"/>
    <w:qFormat/>
    <w:pPr>
      <w:spacing w:before="0" w:after="0"/>
    </w:pPr>
    <w:rPr>
      <w:rFonts w:eastAsia="Times New Roman" w:cs="Times New Roman"/>
      <w:sz w:val="20"/>
      <w:szCs w:val="20"/>
      <w:lang w:eastAsia="cs-CZ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2015-08-19T12:23:47Z</dcterms:created>
  <dc:language>cs-CZ</dc:language>
  <dcterms:modified xsi:type="dcterms:W3CDTF">2015-08-19T12:24:05Z</dcterms:modified>
  <cp:revision>1</cp:revision>
</cp:coreProperties>
</file>